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inorHAnsi"/>
          <w:lang w:val="bg-BG"/>
        </w:rPr>
        <w:id w:val="1938785544"/>
        <w:docPartObj>
          <w:docPartGallery w:val="Cover Pages"/>
          <w:docPartUnique/>
        </w:docPartObj>
      </w:sdtPr>
      <w:sdtEndPr>
        <w:rPr>
          <w:rFonts w:ascii="Times New Roman" w:hAnsi="Times New Roman" w:cs="Times New Roman"/>
          <w:b/>
          <w:color w:val="FFFFFF" w:themeColor="background1"/>
          <w:sz w:val="28"/>
          <w:szCs w:val="28"/>
        </w:rPr>
      </w:sdtEndPr>
      <w:sdtContent>
        <w:p w:rsidR="002C5172" w:rsidRPr="00615F64" w:rsidRDefault="002C5172">
          <w:pPr>
            <w:pStyle w:val="NoSpacing"/>
          </w:pPr>
          <w:r>
            <w:rPr>
              <w:noProof/>
              <w:lang w:val="bg-BG" w:eastAsia="bg-BG"/>
            </w:rPr>
            <mc:AlternateContent>
              <mc:Choice Requires="wpg">
                <w:drawing>
                  <wp:anchor distT="0" distB="0" distL="114300" distR="114300" simplePos="0" relativeHeight="251655680" behindDoc="1" locked="0" layoutInCell="1" allowOverlap="1" wp14:anchorId="2D730F64" wp14:editId="3222353D">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84" name="Group 84"/>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85" name="Rectangle 85"/>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6" name="Pentagon 86"/>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b/>
                                      <w:color w:val="FFFFFF" w:themeColor="background1"/>
                                      <w:sz w:val="28"/>
                                      <w:szCs w:val="28"/>
                                    </w:rPr>
                                    <w:alias w:val="Date"/>
                                    <w:tag w:val=""/>
                                    <w:id w:val="-280430796"/>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7578C2" w:rsidRPr="002C5172" w:rsidRDefault="007578C2">
                                      <w:pPr>
                                        <w:pStyle w:val="NoSpacing"/>
                                        <w:jc w:val="right"/>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87" name="Group 87"/>
                            <wpg:cNvGrpSpPr/>
                            <wpg:grpSpPr>
                              <a:xfrm>
                                <a:off x="76200" y="4210050"/>
                                <a:ext cx="2057400" cy="4910328"/>
                                <a:chOff x="80645" y="4211812"/>
                                <a:chExt cx="1306273" cy="3121026"/>
                              </a:xfrm>
                            </wpg:grpSpPr>
                            <wpg:grpSp>
                              <wpg:cNvPr id="88" name="Group 88"/>
                              <wpg:cNvGrpSpPr>
                                <a:grpSpLocks noChangeAspect="1"/>
                              </wpg:cNvGrpSpPr>
                              <wpg:grpSpPr>
                                <a:xfrm>
                                  <a:off x="141062" y="4211812"/>
                                  <a:ext cx="1047750" cy="3121026"/>
                                  <a:chOff x="141062" y="4211812"/>
                                  <a:chExt cx="1047750" cy="3121026"/>
                                </a:xfrm>
                              </wpg:grpSpPr>
                              <wps:wsp>
                                <wps:cNvPr id="89" name="Freeform 89"/>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0" name="Freeform 90"/>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1" name="Freeform 91"/>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2" name="Freeform 92"/>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3" name="Freeform 93"/>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4" name="Freeform 94"/>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5" name="Freeform 95"/>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6" name="Freeform 96"/>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7" name="Freeform 97"/>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8" name="Freeform 98"/>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9" name="Freeform 99"/>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0" name="Freeform 100"/>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01" name="Group 101"/>
                              <wpg:cNvGrpSpPr>
                                <a:grpSpLocks noChangeAspect="1"/>
                              </wpg:cNvGrpSpPr>
                              <wpg:grpSpPr>
                                <a:xfrm>
                                  <a:off x="80645" y="4826972"/>
                                  <a:ext cx="1306273" cy="2505863"/>
                                  <a:chOff x="80645" y="4649964"/>
                                  <a:chExt cx="874712" cy="1677988"/>
                                </a:xfrm>
                              </wpg:grpSpPr>
                              <wps:wsp>
                                <wps:cNvPr id="102" name="Freeform 102"/>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3" name="Freeform 103"/>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4" name="Freeform 104"/>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5" name="Freeform 105"/>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6" name="Freeform 106"/>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7" name="Freeform 10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8" name="Freeform 108"/>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9" name="Freeform 109"/>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10" name="Freeform 11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11" name="Freeform 11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12" name="Freeform 112"/>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84" o:spid="_x0000_s1026" style="position:absolute;margin-left:0;margin-top:0;width:172.8pt;height:718.55pt;z-index:-25166080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">
                    <v:rect id="Rectangle 85"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KvS8YA&#10;AADbAAAADwAAAGRycy9kb3ducmV2LnhtbESPQWvCQBSE7wX/w/IKvdVNhYpGVxGh0FJKUYPo7Zl9&#10;ZqPZtyG7NbG/3hUKPQ4z8w0znXe2EhdqfOlYwUs/AUGcO11yoSDbvD2PQPiArLFyTAqu5GE+6z1M&#10;MdWu5RVd1qEQEcI+RQUmhDqV0ueGLPq+q4mjd3SNxRBlU0jdYBvhtpKDJBlKiyXHBYM1LQ3l5/WP&#10;VeBOv+Pss/06HzZmnG/3g2L38d0q9fTYLSYgAnXhP/zXftcKRq9w/x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KvS8YAAADbAAAADwAAAAAAAAAAAAAAAACYAgAAZHJz&#10;L2Rvd25yZXYueG1sUEsFBgAAAAAEAAQA9QAAAIsD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6"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bkIsUA&#10;AADbAAAADwAAAGRycy9kb3ducmV2LnhtbESP3WrCQBSE7wXfYTlC73STCiKpq/hDwYvaatoHOM0e&#10;k2j2bMiuJvbpXaHg5TAz3zCzRWcqcaXGlZYVxKMIBHFmdcm5gp/v9+EUhPPIGivLpOBGDhbzfm+G&#10;ibYtH+ia+lwECLsEFRTe14mULivIoBvZmjh4R9sY9EE2udQNtgFuKvkaRRNpsOSwUGBN64Kyc3ox&#10;Ckz8Ea9W3d/nV3vaj3/ri2+jzU6pl0G3fAPhqfPP8H97qxVMJ/D4En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VuQixQAAANsAAAAPAAAAAAAAAAAAAAAAAJgCAABkcnMv&#10;ZG93bnJldi54bWxQSwUGAAAAAAQABAD1AAAAigMAAAAA&#10;" adj="18883" fillcolor="#5b9bd5 [3204]" stroked="f" strokeweight="1pt">
                      <v:textbox inset=",0,14.4pt,0">
                        <w:txbxContent>
                          <w:sdt>
                            <w:sdtPr>
                              <w:rPr>
                                <w:rFonts w:ascii="Times New Roman" w:hAnsi="Times New Roman" w:cs="Times New Roman"/>
                                <w:b/>
                                <w:color w:val="FFFFFF" w:themeColor="background1"/>
                                <w:sz w:val="28"/>
                                <w:szCs w:val="28"/>
                              </w:rPr>
                              <w:alias w:val="Date"/>
                              <w:tag w:val=""/>
                              <w:id w:val="-280430796"/>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rsidR="007578C2" w:rsidRPr="002C5172" w:rsidRDefault="007578C2">
                                <w:pPr>
                                  <w:pStyle w:val="NoSpacing"/>
                                  <w:jc w:val="right"/>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 xml:space="preserve">     </w:t>
                                </w:r>
                              </w:p>
                            </w:sdtContent>
                          </w:sdt>
                        </w:txbxContent>
                      </v:textbox>
                    </v:shape>
                    <v:group id="Group 87"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group id="Group 88"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o:lock v:ext="edit" aspectratio="t"/>
                        <v:shape id="Freeform 89"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w7QcIA&#10;AADbAAAADwAAAGRycy9kb3ducmV2LnhtbESPQYvCMBSE74L/ITxhL6LpelhqNYqIUve4Vu+P5tlW&#10;m5fSZGvXX28WBI/DzHzDLNe9qUVHrassK/icRiCIc6srLhScsv0kBuE8ssbaMin4Iwfr1XCwxETb&#10;O/9Qd/SFCBB2CSoovW8SKV1ekkE3tQ1x8C62NeiDbAupW7wHuKnlLIq+pMGKw0KJDW1Lym/HX6NA&#10;P7LUdiYttuPz9+6ySeNDenVKfYz6zQKEp96/w6/2QSuI5/D/Jfw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DtBwgAAANsAAAAPAAAAAAAAAAAAAAAAAJgCAABkcnMvZG93&#10;bnJldi54bWxQSwUGAAAAAAQABAD1AAAAhw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90"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Cym78A&#10;AADbAAAADwAAAGRycy9kb3ducmV2LnhtbERPzYrCMBC+L/gOYQRva6qgrNUoVdjFi4dVH2Bsxqba&#10;TEoSbX17c1jY48f3v9r0thFP8qF2rGAyzkAQl07XXCk4n74/v0CEiKyxcUwKXhRgsx58rDDXruNf&#10;eh5jJVIIhxwVmBjbXMpQGrIYxq4lTtzVeYsxQV9J7bFL4baR0yybS4s1pwaDLe0Mlffjwyp46Pnu&#10;Zzbr77dL5wp/PWyLvTNKjYZ9sQQRqY//4j/3XitYpPXpS/oBcv0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sLKbvwAAANsAAAAPAAAAAAAAAAAAAAAAAJgCAABkcnMvZG93bnJl&#10;di54bWxQSwUGAAAAAAQABAD1AAAAhA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91"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d+tMQA&#10;AADbAAAADwAAAGRycy9kb3ducmV2LnhtbESP3YrCMBSE7xd8h3CEvVtTXRGtRpGFBZUF8QfBu0Nz&#10;bKvNSUmi1rffCIKXw8x8w0xmjanEjZwvLSvodhIQxJnVJecK9rvfryEIH5A1VpZJwYM8zKatjwmm&#10;2t55Q7dtyEWEsE9RQRFCnUrps4IM+o6tiaN3ss5giNLlUju8R7ipZC9JBtJgyXGhwJp+Csou26tR&#10;sO4/zri8mk3ve5csHf7Vi9XhqNRnu5mPQQRqwjv8ai+0glEXnl/i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3frTEAAAA2wAAAA8AAAAAAAAAAAAAAAAAmAIAAGRycy9k&#10;b3ducmV2LnhtbFBLBQYAAAAABAAEAPUAAACJAw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92"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nByMAA&#10;AADbAAAADwAAAGRycy9kb3ducmV2LnhtbERPy2rCQBTdF/yH4Qrd1UmykDY6ighiFm5qK24vmWsS&#10;zNyJmTGvr+8UCl0eznu9HUwtOmpdZVlBvIhAEOdWV1wo+P46vL2DcB5ZY22ZFIzkYLuZvawx1bbn&#10;T+rOvhAhhF2KCkrvm1RKl5dk0C1sQxy4m20N+gDbQuoW+xBuaplE0VIarDg0lNjQvqT8fn4aBddi&#10;iprk4eP4eBnDsKnS2WlU6nU+7FYgPA3+X/znzrSCjwR+v4Qf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OnBy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93"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OjqsMA&#10;AADbAAAADwAAAGRycy9kb3ducmV2LnhtbESPT2sCMRTE74LfITzBW83WotbtZqUUKqIntRR6e928&#10;/UM3L0sSdf32Rih4HGbmN0y26k0rzuR8Y1nB8yQBQVxY3XCl4Ov4+fQKwgdkja1lUnAlD6t8OMgw&#10;1fbCezofQiUihH2KCuoQulRKX9Rk0E9sRxy90jqDIUpXSe3wEuGmldMkmUuDDceFGjv6qKn4O5yM&#10;AivJlfS9aJbTrZnvws+6nP0apcaj/v0NRKA+PML/7Y1WsHyB+5f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OjqsMAAADbAAAADwAAAAAAAAAAAAAAAACYAgAAZHJzL2Rv&#10;d25yZXYueG1sUEsFBgAAAAAEAAQA9QAAAIgD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94"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NYDMEA&#10;AADbAAAADwAAAGRycy9kb3ducmV2LnhtbESPQWsCMRSE74L/ITzBm2YrttTVKCoI7VFre35uXjdh&#10;Ny9LEnX775uC0OMwM98wq03vWnGjEK1nBU/TAgRx5bXlWsH54zB5BRETssbWMyn4oQib9XCwwlL7&#10;Ox/pdkq1yBCOJSowKXWllLEy5DBOfUecvW8fHKYsQy11wHuGu1bOiuJFOrScFwx2tDdUNaerUxBM&#10;2jXn57CbN/uv98PF2sunt0qNR/12CSJRn/7Dj/abVrCYw9+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jWAz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reeform 95"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0EHcIA&#10;AADbAAAADwAAAGRycy9kb3ducmV2LnhtbESPUWvCMBSF34X9h3AHvshMFTZcNYoOtvo2rP6AS3Nt&#10;i8lNSWKt/34ZCD4ezjnf4aw2gzWiJx9axwpm0wwEceV0y7WC0/H7bQEiRGSNxjEpuFOAzfpltMJc&#10;uxsfqC9jLRKEQ44Kmhi7XMpQNWQxTF1HnLyz8xZjkr6W2uMtwa2R8yz7kBZbTgsNdvTVUHUpr1aB&#10;KSfu59hR/dvvC2fuu+JMvlBq/DpslyAiDfEZfrT3WsHnO/x/S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PQQdwgAAANsAAAAPAAAAAAAAAAAAAAAAAJgCAABkcnMvZG93&#10;bnJldi54bWxQSwUGAAAAAAQABAD1AAAAhwMAAAAA&#10;" path="m,l9,37r,3l15,93,5,49,,xe" fillcolor="#44546a [3215]" strokecolor="#44546a [3215]" strokeweight="0">
                          <v:path arrowok="t" o:connecttype="custom" o:connectlocs="0,0;14288,58738;14288,63500;23813,147638;7938,77788;0,0" o:connectangles="0,0,0,0,0,0"/>
                        </v:shape>
                        <v:shape id="Freeform 96"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5+DcMA&#10;AADbAAAADwAAAGRycy9kb3ducmV2LnhtbESPT0sDMRTE74LfITzBm80quOi2afEPgifFKkhvj81r&#10;srp5CUncbL+9EYQeh5n5DbPazG4UE8U0eFZwuWhAEPdeD2wUfLw/XdyASBlZ4+iZFBwowWZ9erLC&#10;TvvCbzRtsxEVwqlDBTbn0EmZeksO08IH4urtfXSYq4xG6oilwt0or5qmlQ4HrgsWAz1Y6r+3P07B&#10;Z2tKuC529xXK/cG8Pu5fop2UOj+b75YgMs35GP5vP2sFty38fa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5+D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97"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M7scA&#10;AADbAAAADwAAAGRycy9kb3ducmV2LnhtbESPT0vDQBTE74LfYXmCFzEbc/BPzLZIxSgWIU2L4O2Z&#10;fSah2bchu6aJn94VhB6HmfkNky0n04mRBtdaVnAVxSCIK6tbrhXstk+XtyCcR9bYWSYFMzlYLk5P&#10;Mky1PfCGxtLXIkDYpaig8b5PpXRVQwZdZHvi4H3ZwaAPcqilHvAQ4KaTSRxfS4Mth4UGe1o1VO3L&#10;b6Pg7dV/8EVRfCY/z/ljPr8n62JOlDo/mx7uQXia/DH8337RCu5u4O9L+AF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UjO7HAAAA2wAAAA8AAAAAAAAAAAAAAAAAmAIAAGRy&#10;cy9kb3ducmV2LnhtbFBLBQYAAAAABAAEAPUAAACM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98"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TEw8MA&#10;AADbAAAADwAAAGRycy9kb3ducmV2LnhtbERPz2vCMBS+D/wfwhvstqYrQ1xnlDqY09Ow26HeHs2z&#10;KTYvtcm0/vfmMPD48f2eL0fbiTMNvnWs4CVJQRDXTrfcKPj9+XyegfABWWPnmBRcycNyMXmYY67d&#10;hXd0LkMjYgj7HBWYEPpcSl8bsugT1xNH7uAGiyHCoZF6wEsMt53M0nQqLbYcGwz29GGoPpZ/VsGp&#10;WG/11/51/13OdtXKnKp1tq2Uenoci3cQgcZwF/+7N1rBWxwbv8Qf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TEw8MAAADbAAAADwAAAAAAAAAAAAAAAACYAgAAZHJzL2Rv&#10;d25yZXYueG1sUEsFBgAAAAAEAAQA9QAAAIgDAAAAAA==&#10;" path="m,l31,65r-8,l,xe" fillcolor="#44546a [3215]" strokecolor="#44546a [3215]" strokeweight="0">
                          <v:path arrowok="t" o:connecttype="custom" o:connectlocs="0,0;49213,103188;36513,103188;0,0" o:connectangles="0,0,0,0"/>
                        </v:shape>
                        <v:shape id="Freeform 99"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JticQA&#10;AADbAAAADwAAAGRycy9kb3ducmV2LnhtbESPQWvCQBSE74X+h+UVvOmmPaiJrlILgqeCRgVvj+wz&#10;iWbfprtbTf31riD0OMzMN8x03plGXMj52rKC90ECgriwuuZSwTZf9scgfEDW2FgmBX/kYT57fZli&#10;pu2V13TZhFJECPsMFVQhtJmUvqjIoB/Yljh6R+sMhihdKbXDa4SbRn4kyVAarDkuVNjSV0XFefNr&#10;FJxWNz58jxbLnzblelGe8t3e5Ur13rrPCYhAXfgPP9srrSBN4fE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ybYnEAAAA2wAAAA8AAAAAAAAAAAAAAAAAmAIAAGRycy9k&#10;b3ducmV2LnhtbFBLBQYAAAAABAAEAPUAAACJAwAAAAA=&#10;" path="m,l6,17,7,42,6,39,,23,,xe" fillcolor="#44546a [3215]" strokecolor="#44546a [3215]" strokeweight="0">
                          <v:path arrowok="t" o:connecttype="custom" o:connectlocs="0,0;9525,26988;11113,66675;9525,61913;0,36513;0,0" o:connectangles="0,0,0,0,0,0"/>
                        </v:shape>
                        <v:shape id="Freeform 100"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M6e8UA&#10;AADcAAAADwAAAGRycy9kb3ducmV2LnhtbESPQWvCQBCF7wX/wzKCt7rRg5ToKipIRSi0thdvQ3ZM&#10;otnZdHc1qb++cyj0NsN78943i1XvGnWnEGvPBibjDBRx4W3NpYGvz93zC6iYkC02nsnAD0VYLQdP&#10;C8yt7/iD7sdUKgnhmKOBKqU21zoWFTmMY98Si3b2wWGSNZTaBuwk3DV6mmUz7bBmaaiwpW1FxfV4&#10;cwZ8V9w24dTg9/riXh/nt256eLwbMxr26zmoRH36N/9d763gZ4Ivz8gE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zp7xQAAANw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101"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o:lock v:ext="edit" aspectratio="t"/>
                        <v:shape id="Freeform 102"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K5cQA&#10;AADcAAAADwAAAGRycy9kb3ducmV2LnhtbERPS2sCMRC+F/wPYYTealYPUlajiKD24KPaFnocNuPu&#10;6may3WQ17a83QsHbfHzPGU+DqcSFGldaVtDvJSCIM6tLzhV8fixeXkE4j6yxskwKfsnBdNJ5GmOq&#10;7ZX3dDn4XMQQdikqKLyvUyldVpBB17M1ceSOtjHoI2xyqRu8xnBTyUGSDKXBkmNDgTXNC8rOh9Yo&#10;2G7+vner93ZxWgfz035tw3KzC0o9d8NsBMJT8A/xv/tNx/nJAO7PxAv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QiuXEAAAA3AAAAA8AAAAAAAAAAAAAAAAAmAIAAGRycy9k&#10;b3ducmV2LnhtbFBLBQYAAAAABAAEAPUAAACJAw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103"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ffrMIA&#10;AADcAAAADwAAAGRycy9kb3ducmV2LnhtbERPS2rDMBDdB3oHMYVsQiO7paE4lk1IGtpVQ90cYLDG&#10;H2KNjKXYzu2jQqG7ebzvpPlsOjHS4FrLCuJ1BIK4tLrlWsH55/j0BsJ5ZI2dZVJwIwd59rBIMdF2&#10;4m8aC1+LEMIuQQWN930ipSsbMujWticOXGUHgz7AoZZ6wCmEm04+R9FGGmw5NDTY076h8lJcjYLi&#10;i6/9+yufT4fTajYfm9hU+1ip5eO824LwNPt/8Z/7U4f50Qv8PhMu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p9+swgAAANw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4"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eCUcMA&#10;AADcAAAADwAAAGRycy9kb3ducmV2LnhtbERPS2sCMRC+F/wPYYTeatZaiqxGEaHV02KtB4/jZvaB&#10;m0nYRHftrzeC0Nt8fM+ZL3vTiCu1vrasYDxKQBDnVtdcKjj8fr1NQfiArLGxTApu5GG5GLzMMdW2&#10;4x+67kMpYgj7FBVUIbhUSp9XZNCPrCOOXGFbgyHCtpS6xS6Gm0a+J8mnNFhzbKjQ0bqi/Ly/GAXF&#10;9+5sNsfib3q6dJvJKsvcxGVKvQ771QxEoD78i5/urY7zkw94PBMv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eCUcMAAADcAAAADwAAAAAAAAAAAAAAAACYAgAAZHJzL2Rv&#10;d25yZXYueG1sUEsFBgAAAAAEAAQA9QAAAIgDAAAAAA==&#10;" path="m,l16,72r4,49l18,112,,31,,xe" fillcolor="#44546a [3215]" strokecolor="#44546a [3215]" strokeweight="0">
                          <v:fill opacity="13107f"/>
                          <v:stroke opacity="13107f"/>
                          <v:path arrowok="t" o:connecttype="custom" o:connectlocs="0,0;25400,114300;31750,192088;28575,177800;0,49213;0,0" o:connectangles="0,0,0,0,0,0"/>
                        </v:shape>
                        <v:shape id="Freeform 105"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SOL8A&#10;AADcAAAADwAAAGRycy9kb3ducmV2LnhtbERPTYvCMBC9C/sfwgjeNFFWV6pRFsFFFjyo631oxqbY&#10;TEoTbf33G0HwNo/3Oct15ypxpyaUnjWMRwoEce5NyYWGv9N2OAcRIrLByjNpeFCA9eqjt8TM+JYP&#10;dD/GQqQQDhlqsDHWmZQht+QwjHxNnLiLbxzGBJtCmgbbFO4qOVFqJh2WnBos1rSxlF+PN6eBfyfB&#10;chuUme3nn4+vn7Mab89aD/rd9wJEpC6+xS/3zqT5agrPZ9IF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mJI4vwAAANwAAAAPAAAAAAAAAAAAAAAAAJgCAABkcnMvZG93bnJl&#10;di54bWxQSwUGAAAAAAQABAD1AAAAhAM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06"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2nbcEA&#10;AADcAAAADwAAAGRycy9kb3ducmV2LnhtbERPy6rCMBDdC/5DGMGdproQqUbxgSB3o1ct6G5oxrbY&#10;TEqTa+vfmwuCuzmc58yXrSnFk2pXWFYwGkYgiFOrC84UXM67wRSE88gaS8uk4EUOlotuZ46xtg3/&#10;0vPkMxFC2MWoIPe+iqV0aU4G3dBWxIG729qgD7DOpK6xCeGmlOMomkiDBYeGHCva5JQ+Tn9GQXVc&#10;b5vNzf0UyXja+leyP9yyq1L9XruagfDU+q/4497rMD+awP8z4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tp23BAAAA3AAAAA8AAAAAAAAAAAAAAAAAmAIAAGRycy9kb3du&#10;cmV2LnhtbFBLBQYAAAAABAAEAPUAAACGAwAAAAA=&#10;" path="m,l33,71r-9,l11,36,,xe" fillcolor="#44546a [3215]" strokecolor="#44546a [3215]" strokeweight="0">
                          <v:fill opacity="13107f"/>
                          <v:stroke opacity="13107f"/>
                          <v:path arrowok="t" o:connecttype="custom" o:connectlocs="0,0;52388,112713;38100,112713;17463,57150;0,0" o:connectangles="0,0,0,0,0"/>
                        </v:shape>
                        <v:shape id="Freeform 107"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yLYMMA&#10;AADcAAAADwAAAGRycy9kb3ducmV2LnhtbERPS2vCQBC+C/6HZYTezEYLaUldRQRB8FB8FPQ2yU6T&#10;YHY27G5N/PduodDbfHzPWawG04o7Od9YVjBLUhDEpdUNVwrOp+30HYQPyBpby6TgQR5Wy/Fogbm2&#10;PR/ofgyViCHsc1RQh9DlUvqyJoM+sR1x5L6tMxgidJXUDvsYblo5T9NMGmw4NtTY0aam8nb8MQq+&#10;9p+u0/Prtshe16eLtHtNh0Kpl8mw/gARaAj/4j/3Tsf56Rv8PhMv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yLYMMAAADcAAAADwAAAAAAAAAAAAAAAACYAgAAZHJzL2Rv&#10;d25yZXYueG1sUEsFBgAAAAAEAAQA9QAAAIgDAAAAAA==&#10;" path="m,l8,37r,4l15,95,4,49,,xe" fillcolor="#44546a [3215]" strokecolor="#44546a [3215]" strokeweight="0">
                          <v:fill opacity="13107f"/>
                          <v:stroke opacity="13107f"/>
                          <v:path arrowok="t" o:connecttype="custom" o:connectlocs="0,0;12700,58738;12700,65088;23813,150813;6350,77788;0,0" o:connectangles="0,0,0,0,0,0"/>
                        </v:shape>
                        <v:shape id="Freeform 108"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uvosYA&#10;AADcAAAADwAAAGRycy9kb3ducmV2LnhtbESPQWvCQBCF7wX/wzJCb3WjiJToKmKrlBaEpr14G7Jj&#10;NpqdDdlVU39951DobYb35r1vFqveN+pKXawDGxiPMlDEZbA1Vwa+v7ZPz6BiQrbYBCYDPxRhtRw8&#10;LDC34cafdC1SpSSEY44GXEptrnUsHXmMo9ASi3YMnccka1dp2+FNwn2jJ1k20x5rlgaHLW0clefi&#10;4g1MN++X++t+Yl+KKdvT7sON9wdnzOOwX89BJerTv/nv+s0Kfia08ox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uvosYAAADcAAAADwAAAAAAAAAAAAAAAACYAgAAZHJz&#10;L2Rvd25yZXYueG1sUEsFBgAAAAAEAAQA9QAAAIs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09"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GK68MA&#10;AADcAAAADwAAAGRycy9kb3ducmV2LnhtbESPwY7CMAxE7yvxD5GRuEEKYllaCAgBK3HhsMAHmMa0&#10;FY1TmlDK3xMkpL3Zmnnj8XzZmlI0VLvCsoLhIAJBnFpdcKbgdPztT0E4j6yxtEwKnuRgueh8zTHR&#10;9sF/1Bx8JkIIuwQV5N5XiZQuzcmgG9iKOGgXWxv0Ya0zqWt8hHBTylEUTaTBgsOFHCta55ReD3cT&#10;auDWT8c/2Y1WzffmfjzHu30RK9XrtqsZCE+t/zd/6J0OXBTD+5kwgV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GK68MAAADcAAAADwAAAAAAAAAAAAAAAACYAgAAZHJzL2Rv&#10;d25yZXYueG1sUEsFBgAAAAAEAAQA9QAAAIgD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10"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L/8YA&#10;AADcAAAADwAAAGRycy9kb3ducmV2LnhtbESPQUsDMRCF74L/IYzQi9hse6h1bVpEFL0UaRtEb0My&#10;7i5uJssm3W7/fecgeJvhvXnvm9VmDK0aqE9NZAOzaQGK2EXfcGXAHl7vlqBSRvbYRiYDZ0qwWV9f&#10;rbD08cQ7Gva5UhLCqUQDdc5dqXVyNQVM09gRi/YT+4BZ1r7SvseThIdWz4tioQM2LA01dvRck/vd&#10;H4MB+hoeth/fjbtn+2LtJx3tm7s1ZnIzPj2CyjTmf/Pf9bsX/JngyzMygV5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eL/8YAAADcAAAADwAAAAAAAAAAAAAAAACYAgAAZHJz&#10;L2Rvd25yZXYueG1sUEsFBgAAAAAEAAQA9QAAAIsDAAAAAA==&#10;" path="m,l31,66r-7,l,xe" fillcolor="#44546a [3215]" strokecolor="#44546a [3215]" strokeweight="0">
                          <v:fill opacity="13107f"/>
                          <v:stroke opacity="13107f"/>
                          <v:path arrowok="t" o:connecttype="custom" o:connectlocs="0,0;49213,104775;38100,104775;0,0" o:connectangles="0,0,0,0"/>
                        </v:shape>
                        <v:shape id="Freeform 111"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98EA&#10;AADcAAAADwAAAGRycy9kb3ducmV2LnhtbERPTWvCQBC9F/wPywje6iY9lJK6iohCL4WaRuhx2B2z&#10;0exsyG6T6K/vFgq9zeN9zmozuVYM1IfGs4J8mYEg1t40XCuoPg+PLyBCRDbYeiYFNwqwWc8eVlgY&#10;P/KRhjLWIoVwKFCBjbErpAzaksOw9B1x4s6+dxgT7GtpehxTuGvlU5Y9S4cNpwaLHe0s6Wv57RQ0&#10;9oLvp7sOeJL7yuvLx5ekWqnFfNq+gog0xX/xn/vNpPl5Dr/Pp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4v/fBAAAA3AAAAA8AAAAAAAAAAAAAAAAAmAIAAGRycy9kb3du&#10;cmV2LnhtbFBLBQYAAAAABAAEAPUAAACGAwAAAAA=&#10;" path="m,l7,17r,26l6,40,,25,,xe" fillcolor="#44546a [3215]" strokecolor="#44546a [3215]" strokeweight="0">
                          <v:fill opacity="13107f"/>
                          <v:stroke opacity="13107f"/>
                          <v:path arrowok="t" o:connecttype="custom" o:connectlocs="0,0;11113,26988;11113,68263;9525,63500;0,39688;0,0" o:connectangles="0,0,0,0,0,0"/>
                        </v:shape>
                        <v:shape id="Freeform 112"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LbGMEA&#10;AADcAAAADwAAAGRycy9kb3ducmV2LnhtbERPS4vCMBC+L/gfwgh7W9N6kLUaRQVBticf4HVsxqbY&#10;TEITtfvvNwuCt/n4njNf9rYVD+pC41hBPspAEFdON1wrOB23X98gQkTW2DomBb8UYLkYfMyx0O7J&#10;e3ocYi1SCIcCFZgYfSFlqAxZDCPniRN3dZ3FmGBXS93hM4XbVo6zbCItNpwaDHraGKpuh7tVUK7N&#10;tKn3P3m5lhN/8eV5tzqdlfoc9qsZiEh9fItf7p1O8/Mx/D+TLp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C2xjBAAAA3AAAAA8AAAAAAAAAAAAAAAAAmAIAAGRycy9kb3du&#10;cmV2LnhtbFBLBQYAAAAABAAEAPUAAACGAw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val="bg-BG" w:eastAsia="bg-BG"/>
            </w:rPr>
            <mc:AlternateContent>
              <mc:Choice Requires="wps">
                <w:drawing>
                  <wp:anchor distT="0" distB="0" distL="114300" distR="114300" simplePos="0" relativeHeight="251661824" behindDoc="0" locked="0" layoutInCell="1" allowOverlap="1" wp14:anchorId="65612AB1" wp14:editId="5BAFB7B8">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113" name="Text Box 113"/>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78C2" w:rsidRPr="0099050E" w:rsidRDefault="007578C2" w:rsidP="006B045F">
                                <w:pPr>
                                  <w:pStyle w:val="NoSpacing"/>
                                  <w:jc w:val="center"/>
                                  <w:rPr>
                                    <w:rFonts w:ascii="Times New Roman" w:hAnsi="Times New Roman" w:cs="Times New Roman"/>
                                    <w:i/>
                                    <w:color w:val="2E74B5" w:themeColor="accent1" w:themeShade="BF"/>
                                    <w:sz w:val="32"/>
                                    <w:szCs w:val="32"/>
                                    <w:lang w:val="bg-BG"/>
                                  </w:rPr>
                                </w:pPr>
                                <w:r w:rsidRPr="0099050E">
                                  <w:rPr>
                                    <w:rFonts w:ascii="Times New Roman" w:hAnsi="Times New Roman" w:cs="Times New Roman"/>
                                    <w:i/>
                                    <w:color w:val="2E74B5" w:themeColor="accent1" w:themeShade="BF"/>
                                    <w:sz w:val="32"/>
                                    <w:szCs w:val="32"/>
                                    <w:lang w:val="bg-BG"/>
                                  </w:rPr>
                                  <w:t xml:space="preserve">СОФИЯ, февруари </w:t>
                                </w:r>
                                <w:r>
                                  <w:rPr>
                                    <w:rFonts w:ascii="Times New Roman" w:hAnsi="Times New Roman" w:cs="Times New Roman"/>
                                    <w:i/>
                                    <w:color w:val="2E74B5" w:themeColor="accent1" w:themeShade="BF"/>
                                    <w:sz w:val="32"/>
                                    <w:szCs w:val="32"/>
                                    <w:lang w:val="bg-BG"/>
                                  </w:rPr>
                                  <w:t>201</w:t>
                                </w:r>
                                <w:r w:rsidRPr="0099050E">
                                  <w:rPr>
                                    <w:rFonts w:ascii="Times New Roman" w:hAnsi="Times New Roman" w:cs="Times New Roman"/>
                                    <w:i/>
                                    <w:color w:val="2E74B5" w:themeColor="accent1" w:themeShade="BF"/>
                                    <w:sz w:val="32"/>
                                    <w:szCs w:val="32"/>
                                    <w:lang w:val="bg-BG"/>
                                  </w:rPr>
                                  <w:t>7</w:t>
                                </w:r>
                                <w:r>
                                  <w:rPr>
                                    <w:rFonts w:ascii="Times New Roman" w:hAnsi="Times New Roman" w:cs="Times New Roman"/>
                                    <w:i/>
                                    <w:color w:val="2E74B5" w:themeColor="accent1" w:themeShade="BF"/>
                                    <w:sz w:val="32"/>
                                    <w:szCs w:val="32"/>
                                    <w:lang w:val="bg-BG"/>
                                  </w:rPr>
                                  <w:t xml:space="preserve"> </w:t>
                                </w:r>
                                <w:r w:rsidRPr="0099050E">
                                  <w:rPr>
                                    <w:rFonts w:ascii="Times New Roman" w:hAnsi="Times New Roman" w:cs="Times New Roman"/>
                                    <w:i/>
                                    <w:color w:val="2E74B5" w:themeColor="accent1" w:themeShade="BF"/>
                                    <w:sz w:val="32"/>
                                    <w:szCs w:val="32"/>
                                    <w:lang w:val="bg-BG"/>
                                  </w:rPr>
                                  <w:t>г.</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3" o:spid="_x0000_s1055" type="#_x0000_t202" style="position:absolute;margin-left:0;margin-top:0;width:4in;height:28.8pt;z-index:251661824;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qN4abHMCAABdBQAADgAAAAAAAAAAAAAA&#10;AAAuAgAAZHJzL2Uyb0RvYy54bWxQSwECLQAUAAYACAAAACEA0UvQbtkAAAAEAQAADwAAAAAAAAAA&#10;AAAAAADNBAAAZHJzL2Rvd25yZXYueG1sUEsFBgAAAAAEAAQA8wAAANMFAAAAAA==&#10;" filled="f" stroked="f" strokeweight=".5pt">
                    <v:textbox style="mso-fit-shape-to-text:t" inset="0,0,0,0">
                      <w:txbxContent>
                        <w:p w:rsidR="007578C2" w:rsidRPr="0099050E" w:rsidRDefault="007578C2" w:rsidP="006B045F">
                          <w:pPr>
                            <w:pStyle w:val="NoSpacing"/>
                            <w:jc w:val="center"/>
                            <w:rPr>
                              <w:rFonts w:ascii="Times New Roman" w:hAnsi="Times New Roman" w:cs="Times New Roman"/>
                              <w:i/>
                              <w:color w:val="2E74B5" w:themeColor="accent1" w:themeShade="BF"/>
                              <w:sz w:val="32"/>
                              <w:szCs w:val="32"/>
                              <w:lang w:val="bg-BG"/>
                            </w:rPr>
                          </w:pPr>
                          <w:r w:rsidRPr="0099050E">
                            <w:rPr>
                              <w:rFonts w:ascii="Times New Roman" w:hAnsi="Times New Roman" w:cs="Times New Roman"/>
                              <w:i/>
                              <w:color w:val="2E74B5" w:themeColor="accent1" w:themeShade="BF"/>
                              <w:sz w:val="32"/>
                              <w:szCs w:val="32"/>
                              <w:lang w:val="bg-BG"/>
                            </w:rPr>
                            <w:t xml:space="preserve">СОФИЯ, февруари </w:t>
                          </w:r>
                          <w:r>
                            <w:rPr>
                              <w:rFonts w:ascii="Times New Roman" w:hAnsi="Times New Roman" w:cs="Times New Roman"/>
                              <w:i/>
                              <w:color w:val="2E74B5" w:themeColor="accent1" w:themeShade="BF"/>
                              <w:sz w:val="32"/>
                              <w:szCs w:val="32"/>
                              <w:lang w:val="bg-BG"/>
                            </w:rPr>
                            <w:t>201</w:t>
                          </w:r>
                          <w:r w:rsidRPr="0099050E">
                            <w:rPr>
                              <w:rFonts w:ascii="Times New Roman" w:hAnsi="Times New Roman" w:cs="Times New Roman"/>
                              <w:i/>
                              <w:color w:val="2E74B5" w:themeColor="accent1" w:themeShade="BF"/>
                              <w:sz w:val="32"/>
                              <w:szCs w:val="32"/>
                              <w:lang w:val="bg-BG"/>
                            </w:rPr>
                            <w:t>7</w:t>
                          </w:r>
                          <w:r>
                            <w:rPr>
                              <w:rFonts w:ascii="Times New Roman" w:hAnsi="Times New Roman" w:cs="Times New Roman"/>
                              <w:i/>
                              <w:color w:val="2E74B5" w:themeColor="accent1" w:themeShade="BF"/>
                              <w:sz w:val="32"/>
                              <w:szCs w:val="32"/>
                              <w:lang w:val="bg-BG"/>
                            </w:rPr>
                            <w:t xml:space="preserve"> </w:t>
                          </w:r>
                          <w:r w:rsidRPr="0099050E">
                            <w:rPr>
                              <w:rFonts w:ascii="Times New Roman" w:hAnsi="Times New Roman" w:cs="Times New Roman"/>
                              <w:i/>
                              <w:color w:val="2E74B5" w:themeColor="accent1" w:themeShade="BF"/>
                              <w:sz w:val="32"/>
                              <w:szCs w:val="32"/>
                              <w:lang w:val="bg-BG"/>
                            </w:rPr>
                            <w:t>г.</w:t>
                          </w:r>
                        </w:p>
                      </w:txbxContent>
                    </v:textbox>
                    <w10:wrap anchorx="page" anchory="page"/>
                  </v:shape>
                </w:pict>
              </mc:Fallback>
            </mc:AlternateContent>
          </w:r>
        </w:p>
        <w:p w:rsidR="0032286D" w:rsidRPr="0099050E" w:rsidRDefault="0032286D" w:rsidP="0099050E">
          <w:pPr>
            <w:pStyle w:val="Quote"/>
            <w:pBdr>
              <w:top w:val="single" w:sz="48" w:space="0" w:color="5B9BD5" w:themeColor="accent1"/>
              <w:bottom w:val="single" w:sz="48" w:space="8" w:color="5B9BD5" w:themeColor="accent1"/>
            </w:pBdr>
            <w:spacing w:after="0" w:line="240" w:lineRule="auto"/>
            <w:jc w:val="center"/>
            <w:rPr>
              <w:rFonts w:ascii="Times New Roman" w:eastAsiaTheme="minorHAnsi" w:hAnsi="Times New Roman" w:cs="Times New Roman"/>
              <w:i w:val="0"/>
              <w:iCs w:val="0"/>
              <w:color w:val="5B9BD5" w:themeColor="accent1"/>
              <w:sz w:val="24"/>
              <w:lang w:val="bg-BG" w:eastAsia="en-US"/>
            </w:rPr>
          </w:pPr>
          <w:r w:rsidRPr="0099050E">
            <w:rPr>
              <w:rFonts w:ascii="Times New Roman" w:hAnsi="Times New Roman" w:cs="Times New Roman"/>
              <w:color w:val="5B9BD5" w:themeColor="accent1"/>
              <w:sz w:val="24"/>
              <w:lang w:val="bg-BG"/>
            </w:rPr>
            <w:t>МИНИСТЕРСТВО НА РЕГИОНАЛНОТО РАЗВИТИЕ И БЛАГОУСТРОЙСТВОТО</w:t>
          </w:r>
        </w:p>
        <w:p w:rsidR="00C7495D" w:rsidRDefault="003F7B51" w:rsidP="0099050E">
          <w:pPr>
            <w:jc w:val="center"/>
            <w:rPr>
              <w:rFonts w:ascii="Times New Roman" w:eastAsiaTheme="minorEastAsia" w:hAnsi="Times New Roman" w:cs="Times New Roman"/>
              <w:b/>
              <w:color w:val="FFFFFF" w:themeColor="background1"/>
              <w:sz w:val="28"/>
              <w:szCs w:val="28"/>
            </w:rPr>
          </w:pPr>
          <w:r>
            <w:rPr>
              <w:noProof/>
              <w:lang w:eastAsia="bg-BG"/>
            </w:rPr>
            <mc:AlternateContent>
              <mc:Choice Requires="wps">
                <w:drawing>
                  <wp:anchor distT="0" distB="0" distL="114300" distR="114300" simplePos="0" relativeHeight="251658752" behindDoc="0" locked="0" layoutInCell="1" allowOverlap="1" wp14:anchorId="7F27EB80" wp14:editId="39828FA7">
                    <wp:simplePos x="0" y="0"/>
                    <wp:positionH relativeFrom="page">
                      <wp:posOffset>2571750</wp:posOffset>
                    </wp:positionH>
                    <wp:positionV relativeFrom="page">
                      <wp:posOffset>1866900</wp:posOffset>
                    </wp:positionV>
                    <wp:extent cx="4457700" cy="5602440"/>
                    <wp:effectExtent l="0" t="0" r="0" b="0"/>
                    <wp:wrapNone/>
                    <wp:docPr id="114" name="Text Box 114"/>
                    <wp:cNvGraphicFramePr/>
                    <a:graphic xmlns:a="http://schemas.openxmlformats.org/drawingml/2006/main">
                      <a:graphicData uri="http://schemas.microsoft.com/office/word/2010/wordprocessingShape">
                        <wps:wsp>
                          <wps:cNvSpPr txBox="1"/>
                          <wps:spPr>
                            <a:xfrm>
                              <a:off x="0" y="0"/>
                              <a:ext cx="4457700" cy="5602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78C2" w:rsidRPr="0099050E" w:rsidRDefault="007578C2" w:rsidP="0099050E">
                                <w:pPr>
                                  <w:pStyle w:val="NoSpacing"/>
                                  <w:spacing w:line="276" w:lineRule="auto"/>
                                  <w:jc w:val="center"/>
                                  <w:rPr>
                                    <w:rFonts w:ascii="Times New Roman" w:eastAsiaTheme="majorEastAsia" w:hAnsi="Times New Roman" w:cs="Times New Roman"/>
                                    <w:color w:val="2E74B5" w:themeColor="accent1" w:themeShade="BF"/>
                                    <w:sz w:val="72"/>
                                    <w:szCs w:val="72"/>
                                  </w:rPr>
                                </w:pPr>
                                <w:r w:rsidRPr="0099050E">
                                  <w:rPr>
                                    <w:rFonts w:ascii="Times New Roman" w:eastAsiaTheme="majorEastAsia" w:hAnsi="Times New Roman" w:cs="Times New Roman"/>
                                    <w:color w:val="2E74B5" w:themeColor="accent1" w:themeShade="BF"/>
                                    <w:sz w:val="72"/>
                                    <w:szCs w:val="72"/>
                                    <w:lang w:val="bg-BG"/>
                                  </w:rPr>
                                  <w:t>ОКОНЧАТЕЛЕН ДОКЛАД</w:t>
                                </w:r>
                              </w:p>
                              <w:p w:rsidR="007578C2" w:rsidRPr="0099050E" w:rsidRDefault="007578C2" w:rsidP="0099050E">
                                <w:pPr>
                                  <w:pStyle w:val="NoSpacing"/>
                                  <w:spacing w:line="276" w:lineRule="auto"/>
                                  <w:jc w:val="center"/>
                                  <w:rPr>
                                    <w:rFonts w:ascii="Times New Roman" w:eastAsiaTheme="majorEastAsia" w:hAnsi="Times New Roman" w:cs="Times New Roman"/>
                                    <w:color w:val="2E74B5" w:themeColor="accent1" w:themeShade="BF"/>
                                    <w:sz w:val="56"/>
                                    <w:szCs w:val="56"/>
                                  </w:rPr>
                                </w:pPr>
                                <w:r w:rsidRPr="0099050E">
                                  <w:rPr>
                                    <w:rFonts w:ascii="Times New Roman" w:eastAsiaTheme="majorEastAsia" w:hAnsi="Times New Roman" w:cs="Times New Roman"/>
                                    <w:color w:val="2E74B5" w:themeColor="accent1" w:themeShade="BF"/>
                                    <w:sz w:val="56"/>
                                    <w:szCs w:val="56"/>
                                    <w:lang w:val="bg-BG"/>
                                  </w:rPr>
                                  <w:t xml:space="preserve">ЗА </w:t>
                                </w:r>
                                <w:r w:rsidRPr="0099050E">
                                  <w:rPr>
                                    <w:rFonts w:ascii="Times New Roman" w:eastAsiaTheme="majorEastAsia" w:hAnsi="Times New Roman" w:cs="Times New Roman"/>
                                    <w:color w:val="2E74B5" w:themeColor="accent1" w:themeShade="BF"/>
                                    <w:sz w:val="56"/>
                                    <w:szCs w:val="56"/>
                                    <w:lang w:val="bg-BG"/>
                                  </w:rPr>
                                  <w:br/>
                                  <w:t xml:space="preserve">ИЗПЪЛНЕНИЕТО </w:t>
                                </w:r>
                                <w:r w:rsidRPr="0099050E">
                                  <w:rPr>
                                    <w:rFonts w:ascii="Times New Roman" w:eastAsiaTheme="majorEastAsia" w:hAnsi="Times New Roman" w:cs="Times New Roman"/>
                                    <w:color w:val="2E74B5" w:themeColor="accent1" w:themeShade="BF"/>
                                    <w:sz w:val="56"/>
                                    <w:szCs w:val="56"/>
                                    <w:lang w:val="bg-BG"/>
                                  </w:rPr>
                                  <w:br/>
                                  <w:t xml:space="preserve">НА </w:t>
                                </w:r>
                                <w:r w:rsidRPr="0099050E">
                                  <w:rPr>
                                    <w:rFonts w:ascii="Times New Roman" w:eastAsiaTheme="majorEastAsia" w:hAnsi="Times New Roman" w:cs="Times New Roman"/>
                                    <w:color w:val="2E74B5" w:themeColor="accent1" w:themeShade="BF"/>
                                    <w:sz w:val="56"/>
                                    <w:szCs w:val="56"/>
                                    <w:lang w:val="bg-BG"/>
                                  </w:rPr>
                                  <w:br/>
                                  <w:t>НАЦИОНАЛНАТА СТРАТЕГИЯ ЗА РЕГИОНАЛНО РАЗВИТИЕ 2005-2015 г.</w:t>
                                </w:r>
                              </w:p>
                              <w:p w:rsidR="007578C2" w:rsidRPr="0099050E" w:rsidRDefault="001B1496" w:rsidP="0099050E">
                                <w:pPr>
                                  <w:spacing w:before="120" w:line="360" w:lineRule="auto"/>
                                  <w:rPr>
                                    <w:b/>
                                    <w:color w:val="404040" w:themeColor="text1" w:themeTint="BF"/>
                                    <w:sz w:val="36"/>
                                    <w:szCs w:val="36"/>
                                  </w:rPr>
                                </w:pPr>
                                <w:sdt>
                                  <w:sdtPr>
                                    <w:rPr>
                                      <w:b/>
                                      <w:color w:val="404040" w:themeColor="text1" w:themeTint="BF"/>
                                      <w:sz w:val="36"/>
                                      <w:szCs w:val="36"/>
                                    </w:rPr>
                                    <w:alias w:val="Subtitle"/>
                                    <w:tag w:val=""/>
                                    <w:id w:val="-1561012478"/>
                                    <w:showingPlcHdr/>
                                    <w:dataBinding w:prefixMappings="xmlns:ns0='http://purl.org/dc/elements/1.1/' xmlns:ns1='http://schemas.openxmlformats.org/package/2006/metadata/core-properties' " w:xpath="/ns1:coreProperties[1]/ns0:subject[1]" w:storeItemID="{6C3C8BC8-F283-45AE-878A-BAB7291924A1}"/>
                                    <w:text/>
                                  </w:sdtPr>
                                  <w:sdtEndPr/>
                                  <w:sdtContent>
                                    <w:r w:rsidR="007578C2" w:rsidRPr="0099050E">
                                      <w:rPr>
                                        <w:b/>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4" o:spid="_x0000_s1056" type="#_x0000_t202" style="position:absolute;left:0;text-align:left;margin-left:202.5pt;margin-top:147pt;width:351pt;height:441.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" filled="f" stroked="f" strokeweight=".5pt">
                    <v:textbox inset="0,0,0,0">
                      <w:txbxContent>
                        <w:p w:rsidR="007578C2" w:rsidRPr="0099050E" w:rsidRDefault="007578C2" w:rsidP="0099050E">
                          <w:pPr>
                            <w:pStyle w:val="NoSpacing"/>
                            <w:spacing w:line="276" w:lineRule="auto"/>
                            <w:jc w:val="center"/>
                            <w:rPr>
                              <w:rFonts w:ascii="Times New Roman" w:eastAsiaTheme="majorEastAsia" w:hAnsi="Times New Roman" w:cs="Times New Roman"/>
                              <w:color w:val="2E74B5" w:themeColor="accent1" w:themeShade="BF"/>
                              <w:sz w:val="72"/>
                              <w:szCs w:val="72"/>
                            </w:rPr>
                          </w:pPr>
                          <w:r w:rsidRPr="0099050E">
                            <w:rPr>
                              <w:rFonts w:ascii="Times New Roman" w:eastAsiaTheme="majorEastAsia" w:hAnsi="Times New Roman" w:cs="Times New Roman"/>
                              <w:color w:val="2E74B5" w:themeColor="accent1" w:themeShade="BF"/>
                              <w:sz w:val="72"/>
                              <w:szCs w:val="72"/>
                              <w:lang w:val="bg-BG"/>
                            </w:rPr>
                            <w:t>ОКОНЧАТЕЛЕН ДОКЛАД</w:t>
                          </w:r>
                        </w:p>
                        <w:p w:rsidR="007578C2" w:rsidRPr="0099050E" w:rsidRDefault="007578C2" w:rsidP="0099050E">
                          <w:pPr>
                            <w:pStyle w:val="NoSpacing"/>
                            <w:spacing w:line="276" w:lineRule="auto"/>
                            <w:jc w:val="center"/>
                            <w:rPr>
                              <w:rFonts w:ascii="Times New Roman" w:eastAsiaTheme="majorEastAsia" w:hAnsi="Times New Roman" w:cs="Times New Roman"/>
                              <w:color w:val="2E74B5" w:themeColor="accent1" w:themeShade="BF"/>
                              <w:sz w:val="56"/>
                              <w:szCs w:val="56"/>
                            </w:rPr>
                          </w:pPr>
                          <w:r w:rsidRPr="0099050E">
                            <w:rPr>
                              <w:rFonts w:ascii="Times New Roman" w:eastAsiaTheme="majorEastAsia" w:hAnsi="Times New Roman" w:cs="Times New Roman"/>
                              <w:color w:val="2E74B5" w:themeColor="accent1" w:themeShade="BF"/>
                              <w:sz w:val="56"/>
                              <w:szCs w:val="56"/>
                              <w:lang w:val="bg-BG"/>
                            </w:rPr>
                            <w:t xml:space="preserve">ЗА </w:t>
                          </w:r>
                          <w:r w:rsidRPr="0099050E">
                            <w:rPr>
                              <w:rFonts w:ascii="Times New Roman" w:eastAsiaTheme="majorEastAsia" w:hAnsi="Times New Roman" w:cs="Times New Roman"/>
                              <w:color w:val="2E74B5" w:themeColor="accent1" w:themeShade="BF"/>
                              <w:sz w:val="56"/>
                              <w:szCs w:val="56"/>
                              <w:lang w:val="bg-BG"/>
                            </w:rPr>
                            <w:br/>
                            <w:t xml:space="preserve">ИЗПЪЛНЕНИЕТО </w:t>
                          </w:r>
                          <w:r w:rsidRPr="0099050E">
                            <w:rPr>
                              <w:rFonts w:ascii="Times New Roman" w:eastAsiaTheme="majorEastAsia" w:hAnsi="Times New Roman" w:cs="Times New Roman"/>
                              <w:color w:val="2E74B5" w:themeColor="accent1" w:themeShade="BF"/>
                              <w:sz w:val="56"/>
                              <w:szCs w:val="56"/>
                              <w:lang w:val="bg-BG"/>
                            </w:rPr>
                            <w:br/>
                            <w:t xml:space="preserve">НА </w:t>
                          </w:r>
                          <w:r w:rsidRPr="0099050E">
                            <w:rPr>
                              <w:rFonts w:ascii="Times New Roman" w:eastAsiaTheme="majorEastAsia" w:hAnsi="Times New Roman" w:cs="Times New Roman"/>
                              <w:color w:val="2E74B5" w:themeColor="accent1" w:themeShade="BF"/>
                              <w:sz w:val="56"/>
                              <w:szCs w:val="56"/>
                              <w:lang w:val="bg-BG"/>
                            </w:rPr>
                            <w:br/>
                            <w:t>НАЦИОНАЛНАТА СТРАТЕГИЯ ЗА РЕГИОНАЛНО РАЗВИТИЕ 2005-2015 г.</w:t>
                          </w:r>
                        </w:p>
                        <w:p w:rsidR="007578C2" w:rsidRPr="0099050E" w:rsidRDefault="007578C2" w:rsidP="0099050E">
                          <w:pPr>
                            <w:spacing w:before="120" w:line="360" w:lineRule="auto"/>
                            <w:rPr>
                              <w:b/>
                              <w:color w:val="404040" w:themeColor="text1" w:themeTint="BF"/>
                              <w:sz w:val="36"/>
                              <w:szCs w:val="36"/>
                            </w:rPr>
                          </w:pPr>
                          <w:sdt>
                            <w:sdtPr>
                              <w:rPr>
                                <w:b/>
                                <w:color w:val="404040" w:themeColor="text1" w:themeTint="BF"/>
                                <w:sz w:val="36"/>
                                <w:szCs w:val="36"/>
                              </w:rPr>
                              <w:alias w:val="Subtitle"/>
                              <w:tag w:val=""/>
                              <w:id w:val="-1561012478"/>
                              <w:showingPlcHdr/>
                              <w:dataBinding w:prefixMappings="xmlns:ns0='http://purl.org/dc/elements/1.1/' xmlns:ns1='http://schemas.openxmlformats.org/package/2006/metadata/core-properties' " w:xpath="/ns1:coreProperties[1]/ns0:subject[1]" w:storeItemID="{6C3C8BC8-F283-45AE-878A-BAB7291924A1}"/>
                              <w:text/>
                            </w:sdtPr>
                            <w:sdtContent>
                              <w:r w:rsidRPr="0099050E">
                                <w:rPr>
                                  <w:b/>
                                  <w:color w:val="404040" w:themeColor="text1" w:themeTint="BF"/>
                                  <w:sz w:val="36"/>
                                  <w:szCs w:val="36"/>
                                </w:rPr>
                                <w:t xml:space="preserve">     </w:t>
                              </w:r>
                            </w:sdtContent>
                          </w:sdt>
                        </w:p>
                      </w:txbxContent>
                    </v:textbox>
                    <w10:wrap anchorx="page" anchory="page"/>
                  </v:shape>
                </w:pict>
              </mc:Fallback>
            </mc:AlternateContent>
          </w:r>
          <w:r w:rsidR="002C5172">
            <w:rPr>
              <w:rFonts w:ascii="Times New Roman" w:eastAsiaTheme="minorEastAsia" w:hAnsi="Times New Roman" w:cs="Times New Roman"/>
              <w:b/>
              <w:color w:val="FFFFFF" w:themeColor="background1"/>
              <w:sz w:val="28"/>
              <w:szCs w:val="28"/>
            </w:rPr>
            <w:br w:type="page"/>
          </w:r>
          <w:r w:rsidR="0032286D">
            <w:rPr>
              <w:rFonts w:ascii="Times New Roman" w:eastAsiaTheme="minorEastAsia" w:hAnsi="Times New Roman" w:cs="Times New Roman"/>
              <w:b/>
              <w:color w:val="FFFFFF" w:themeColor="background1"/>
              <w:sz w:val="28"/>
              <w:szCs w:val="28"/>
            </w:rPr>
            <w:lastRenderedPageBreak/>
            <w:t>мини</w:t>
          </w:r>
        </w:p>
        <w:p w:rsidR="00B93F78" w:rsidRPr="00454807" w:rsidRDefault="00B93F78">
          <w:pPr>
            <w:rPr>
              <w:rFonts w:ascii="Times New Roman" w:eastAsiaTheme="minorEastAsia" w:hAnsi="Times New Roman" w:cs="Times New Roman"/>
              <w:b/>
              <w:color w:val="2E74B5" w:themeColor="accent1" w:themeShade="BF"/>
              <w:sz w:val="28"/>
              <w:szCs w:val="28"/>
            </w:rPr>
          </w:pPr>
          <w:r w:rsidRPr="00454807">
            <w:rPr>
              <w:rFonts w:ascii="Times New Roman" w:eastAsiaTheme="minorEastAsia" w:hAnsi="Times New Roman" w:cs="Times New Roman"/>
              <w:b/>
              <w:color w:val="2E74B5" w:themeColor="accent1" w:themeShade="BF"/>
              <w:sz w:val="28"/>
              <w:szCs w:val="28"/>
            </w:rPr>
            <w:t>СЪДЪРЖАНИЕ</w:t>
          </w:r>
        </w:p>
        <w:p w:rsidR="008E65F2" w:rsidRPr="0065250B" w:rsidRDefault="008E65F2">
          <w:pPr>
            <w:rPr>
              <w:rFonts w:ascii="Times New Roman" w:eastAsiaTheme="minorEastAsia" w:hAnsi="Times New Roman" w:cs="Times New Roman"/>
              <w:b/>
              <w:sz w:val="24"/>
              <w:szCs w:val="24"/>
            </w:rPr>
          </w:pPr>
        </w:p>
        <w:p w:rsidR="004505EE" w:rsidRDefault="00D73CC1">
          <w:pPr>
            <w:pStyle w:val="TOC1"/>
            <w:rPr>
              <w:rFonts w:asciiTheme="minorHAnsi" w:eastAsiaTheme="minorEastAsia" w:hAnsiTheme="minorHAnsi" w:cstheme="minorBidi"/>
              <w:b w:val="0"/>
              <w:color w:val="auto"/>
              <w:lang w:eastAsia="bg-BG"/>
            </w:rPr>
          </w:pPr>
          <w:r w:rsidRPr="0065250B">
            <w:rPr>
              <w:rFonts w:eastAsiaTheme="minorEastAsia"/>
            </w:rPr>
            <w:fldChar w:fldCharType="begin"/>
          </w:r>
          <w:r w:rsidRPr="0065250B">
            <w:rPr>
              <w:rFonts w:eastAsiaTheme="minorEastAsia"/>
            </w:rPr>
            <w:instrText xml:space="preserve"> TOC \o "1-3" \h \z \u </w:instrText>
          </w:r>
          <w:r w:rsidRPr="0065250B">
            <w:rPr>
              <w:rFonts w:eastAsiaTheme="minorEastAsia"/>
            </w:rPr>
            <w:fldChar w:fldCharType="separate"/>
          </w:r>
          <w:hyperlink w:anchor="_Toc478043742" w:history="1">
            <w:r w:rsidR="004505EE" w:rsidRPr="007B360C">
              <w:rPr>
                <w:rStyle w:val="Hyperlink"/>
              </w:rPr>
              <w:t>ВЪВЕДЕНИЕ</w:t>
            </w:r>
            <w:r w:rsidR="004505EE">
              <w:rPr>
                <w:webHidden/>
              </w:rPr>
              <w:tab/>
            </w:r>
            <w:r w:rsidR="004505EE">
              <w:rPr>
                <w:webHidden/>
              </w:rPr>
              <w:fldChar w:fldCharType="begin"/>
            </w:r>
            <w:r w:rsidR="004505EE">
              <w:rPr>
                <w:webHidden/>
              </w:rPr>
              <w:instrText xml:space="preserve"> PAGEREF _Toc478043742 \h </w:instrText>
            </w:r>
            <w:r w:rsidR="004505EE">
              <w:rPr>
                <w:webHidden/>
              </w:rPr>
            </w:r>
            <w:r w:rsidR="004505EE">
              <w:rPr>
                <w:webHidden/>
              </w:rPr>
              <w:fldChar w:fldCharType="separate"/>
            </w:r>
            <w:r w:rsidR="004505EE">
              <w:rPr>
                <w:webHidden/>
              </w:rPr>
              <w:t>3</w:t>
            </w:r>
            <w:r w:rsidR="004505EE">
              <w:rPr>
                <w:webHidden/>
              </w:rPr>
              <w:fldChar w:fldCharType="end"/>
            </w:r>
          </w:hyperlink>
        </w:p>
        <w:p w:rsidR="004505EE" w:rsidRDefault="001B1496">
          <w:pPr>
            <w:pStyle w:val="TOC1"/>
            <w:rPr>
              <w:rFonts w:asciiTheme="minorHAnsi" w:eastAsiaTheme="minorEastAsia" w:hAnsiTheme="minorHAnsi" w:cstheme="minorBidi"/>
              <w:b w:val="0"/>
              <w:color w:val="auto"/>
              <w:lang w:eastAsia="bg-BG"/>
            </w:rPr>
          </w:pPr>
          <w:hyperlink w:anchor="_Toc478043743" w:history="1">
            <w:r w:rsidR="004505EE" w:rsidRPr="007B360C">
              <w:rPr>
                <w:rStyle w:val="Hyperlink"/>
                <w:rFonts w:eastAsia="Times New Roman"/>
                <w:lang w:eastAsia="bg-BG"/>
              </w:rPr>
              <w:t>1.</w:t>
            </w:r>
            <w:r w:rsidR="004505EE">
              <w:rPr>
                <w:rFonts w:asciiTheme="minorHAnsi" w:eastAsiaTheme="minorEastAsia" w:hAnsiTheme="minorHAnsi" w:cstheme="minorBidi"/>
                <w:b w:val="0"/>
                <w:color w:val="auto"/>
                <w:lang w:eastAsia="bg-BG"/>
              </w:rPr>
              <w:tab/>
            </w:r>
            <w:r w:rsidR="004505EE" w:rsidRPr="007B360C">
              <w:rPr>
                <w:rStyle w:val="Hyperlink"/>
                <w:rFonts w:eastAsia="Times New Roman"/>
                <w:lang w:eastAsia="bg-BG"/>
              </w:rPr>
              <w:t>ЕФЕКТИВНОСТ НА ИЗПЪЛНЕНИЕТО НА ЦЕЛИТЕ И ПРИОРИТЕТИТЕ ЗА РЕГИОНАЛНО РАЗВИТИЕ ПРЕЗ ПЕРИОДА НА ДЕЙСТВИЕ НА НАЦИОНАЛНАТА СТРАТЕГИЯ ЗА РЕГИОНАЛНО РАЗВИТИЕ 2005-2015 Г.</w:t>
            </w:r>
            <w:r w:rsidR="004505EE">
              <w:rPr>
                <w:webHidden/>
              </w:rPr>
              <w:tab/>
            </w:r>
            <w:r w:rsidR="004505EE">
              <w:rPr>
                <w:webHidden/>
              </w:rPr>
              <w:fldChar w:fldCharType="begin"/>
            </w:r>
            <w:r w:rsidR="004505EE">
              <w:rPr>
                <w:webHidden/>
              </w:rPr>
              <w:instrText xml:space="preserve"> PAGEREF _Toc478043743 \h </w:instrText>
            </w:r>
            <w:r w:rsidR="004505EE">
              <w:rPr>
                <w:webHidden/>
              </w:rPr>
            </w:r>
            <w:r w:rsidR="004505EE">
              <w:rPr>
                <w:webHidden/>
              </w:rPr>
              <w:fldChar w:fldCharType="separate"/>
            </w:r>
            <w:r w:rsidR="004505EE">
              <w:rPr>
                <w:webHidden/>
              </w:rPr>
              <w:t>4</w:t>
            </w:r>
            <w:r w:rsidR="004505EE">
              <w:rPr>
                <w:webHidden/>
              </w:rPr>
              <w:fldChar w:fldCharType="end"/>
            </w:r>
          </w:hyperlink>
        </w:p>
        <w:p w:rsidR="004505EE" w:rsidRDefault="001B1496">
          <w:pPr>
            <w:pStyle w:val="TOC1"/>
            <w:rPr>
              <w:rFonts w:asciiTheme="minorHAnsi" w:eastAsiaTheme="minorEastAsia" w:hAnsiTheme="minorHAnsi" w:cstheme="minorBidi"/>
              <w:b w:val="0"/>
              <w:color w:val="auto"/>
              <w:lang w:eastAsia="bg-BG"/>
            </w:rPr>
          </w:pPr>
          <w:hyperlink w:anchor="_Toc478043744" w:history="1">
            <w:r w:rsidR="004505EE" w:rsidRPr="007B360C">
              <w:rPr>
                <w:rStyle w:val="Hyperlink"/>
                <w:rFonts w:eastAsia="Times New Roman"/>
                <w:lang w:eastAsia="bg-BG"/>
              </w:rPr>
              <w:t>2.</w:t>
            </w:r>
            <w:r w:rsidR="004505EE">
              <w:rPr>
                <w:rFonts w:asciiTheme="minorHAnsi" w:eastAsiaTheme="minorEastAsia" w:hAnsiTheme="minorHAnsi" w:cstheme="minorBidi"/>
                <w:b w:val="0"/>
                <w:color w:val="auto"/>
                <w:lang w:eastAsia="bg-BG"/>
              </w:rPr>
              <w:tab/>
            </w:r>
            <w:r w:rsidR="004505EE" w:rsidRPr="007B360C">
              <w:rPr>
                <w:rStyle w:val="Hyperlink"/>
                <w:rFonts w:eastAsia="Times New Roman"/>
                <w:lang w:eastAsia="bg-BG"/>
              </w:rPr>
              <w:t>РЕЗУЛТАТИ ОТ ПОСЛЕДВАЩАТА ОЦЕНКА СЪГЛАСНО КРИТЕРИИТЕ ЗА ОЦЕНКА НА ИЗПЪЛНЕНИЕТО НА НАЦИОНАЛНАТА СТРАТЕГИЯ ЗА РЕГИОНАЛНО РАЗВИТИЕ 2005-2015 Г.</w:t>
            </w:r>
            <w:r w:rsidR="004505EE">
              <w:rPr>
                <w:webHidden/>
              </w:rPr>
              <w:tab/>
            </w:r>
            <w:r w:rsidR="004505EE">
              <w:rPr>
                <w:webHidden/>
              </w:rPr>
              <w:fldChar w:fldCharType="begin"/>
            </w:r>
            <w:r w:rsidR="004505EE">
              <w:rPr>
                <w:webHidden/>
              </w:rPr>
              <w:instrText xml:space="preserve"> PAGEREF _Toc478043744 \h </w:instrText>
            </w:r>
            <w:r w:rsidR="004505EE">
              <w:rPr>
                <w:webHidden/>
              </w:rPr>
            </w:r>
            <w:r w:rsidR="004505EE">
              <w:rPr>
                <w:webHidden/>
              </w:rPr>
              <w:fldChar w:fldCharType="separate"/>
            </w:r>
            <w:r w:rsidR="004505EE">
              <w:rPr>
                <w:webHidden/>
              </w:rPr>
              <w:t>18</w:t>
            </w:r>
            <w:r w:rsidR="004505EE">
              <w:rPr>
                <w:webHidden/>
              </w:rPr>
              <w:fldChar w:fldCharType="end"/>
            </w:r>
          </w:hyperlink>
        </w:p>
        <w:p w:rsidR="004505EE" w:rsidRDefault="001B1496">
          <w:pPr>
            <w:pStyle w:val="TOC1"/>
            <w:rPr>
              <w:rFonts w:asciiTheme="minorHAnsi" w:eastAsiaTheme="minorEastAsia" w:hAnsiTheme="minorHAnsi" w:cstheme="minorBidi"/>
              <w:b w:val="0"/>
              <w:color w:val="auto"/>
              <w:lang w:eastAsia="bg-BG"/>
            </w:rPr>
          </w:pPr>
          <w:hyperlink w:anchor="_Toc478043745" w:history="1">
            <w:r w:rsidR="004505EE" w:rsidRPr="007B360C">
              <w:rPr>
                <w:rStyle w:val="Hyperlink"/>
                <w:rFonts w:eastAsia="Times New Roman"/>
                <w:lang w:eastAsia="bg-BG"/>
              </w:rPr>
              <w:t>3.</w:t>
            </w:r>
            <w:r w:rsidR="004505EE">
              <w:rPr>
                <w:rFonts w:asciiTheme="minorHAnsi" w:eastAsiaTheme="minorEastAsia" w:hAnsiTheme="minorHAnsi" w:cstheme="minorBidi"/>
                <w:b w:val="0"/>
                <w:color w:val="auto"/>
                <w:lang w:eastAsia="bg-BG"/>
              </w:rPr>
              <w:tab/>
            </w:r>
            <w:r w:rsidR="004505EE" w:rsidRPr="007B360C">
              <w:rPr>
                <w:rStyle w:val="Hyperlink"/>
                <w:rFonts w:eastAsia="Times New Roman"/>
                <w:lang w:eastAsia="bg-BG"/>
              </w:rPr>
              <w:t>РЕЗУЛТАТИ ОТ ПОСЛЕДВАЩАТА ОЦЕНКА НА ИЗПЪЛНЕНИЕТО НА РЕГИОНАЛНИТЕ ПЛАНОВЕ ЗА РАЗВИТИЕ 2007-2013 Г.</w:t>
            </w:r>
            <w:r w:rsidR="004505EE">
              <w:rPr>
                <w:webHidden/>
              </w:rPr>
              <w:tab/>
            </w:r>
            <w:r w:rsidR="004505EE">
              <w:rPr>
                <w:webHidden/>
              </w:rPr>
              <w:fldChar w:fldCharType="begin"/>
            </w:r>
            <w:r w:rsidR="004505EE">
              <w:rPr>
                <w:webHidden/>
              </w:rPr>
              <w:instrText xml:space="preserve"> PAGEREF _Toc478043745 \h </w:instrText>
            </w:r>
            <w:r w:rsidR="004505EE">
              <w:rPr>
                <w:webHidden/>
              </w:rPr>
            </w:r>
            <w:r w:rsidR="004505EE">
              <w:rPr>
                <w:webHidden/>
              </w:rPr>
              <w:fldChar w:fldCharType="separate"/>
            </w:r>
            <w:r w:rsidR="004505EE">
              <w:rPr>
                <w:webHidden/>
              </w:rPr>
              <w:t>23</w:t>
            </w:r>
            <w:r w:rsidR="004505EE">
              <w:rPr>
                <w:webHidden/>
              </w:rPr>
              <w:fldChar w:fldCharType="end"/>
            </w:r>
          </w:hyperlink>
        </w:p>
        <w:p w:rsidR="004505EE" w:rsidRDefault="001B1496">
          <w:pPr>
            <w:pStyle w:val="TOC1"/>
            <w:rPr>
              <w:rFonts w:asciiTheme="minorHAnsi" w:eastAsiaTheme="minorEastAsia" w:hAnsiTheme="minorHAnsi" w:cstheme="minorBidi"/>
              <w:b w:val="0"/>
              <w:color w:val="auto"/>
              <w:lang w:eastAsia="bg-BG"/>
            </w:rPr>
          </w:pPr>
          <w:hyperlink w:anchor="_Toc478043746" w:history="1">
            <w:r w:rsidR="004505EE" w:rsidRPr="007B360C">
              <w:rPr>
                <w:rStyle w:val="Hyperlink"/>
                <w:rFonts w:eastAsia="Times New Roman"/>
                <w:lang w:eastAsia="bg-BG"/>
              </w:rPr>
              <w:t>4.</w:t>
            </w:r>
            <w:r w:rsidR="004505EE">
              <w:rPr>
                <w:rFonts w:asciiTheme="minorHAnsi" w:eastAsiaTheme="minorEastAsia" w:hAnsiTheme="minorHAnsi" w:cstheme="minorBidi"/>
                <w:b w:val="0"/>
                <w:color w:val="auto"/>
                <w:lang w:eastAsia="bg-BG"/>
              </w:rPr>
              <w:tab/>
            </w:r>
            <w:r w:rsidR="004505EE" w:rsidRPr="007B360C">
              <w:rPr>
                <w:rStyle w:val="Hyperlink"/>
                <w:rFonts w:eastAsia="Times New Roman"/>
                <w:lang w:eastAsia="bg-BG"/>
              </w:rPr>
              <w:t>ЕФЕКТИВНОСТ НА ИЗПОЛЗВАНИТЕ ПРЕЗ ПЕРИОДА НА ДЕЙСТВИЕ РЕСУРСИ ЗА ПОСТИГАНЕ ЦЕЛИТЕ НА НАЦИОНАЛНАТА СТРАТЕГИЯ ЗА РЕГИОНАЛНО РАЗВИТИЕ 2005-2015 Г.</w:t>
            </w:r>
            <w:r w:rsidR="004505EE">
              <w:rPr>
                <w:webHidden/>
              </w:rPr>
              <w:tab/>
            </w:r>
            <w:r w:rsidR="004505EE">
              <w:rPr>
                <w:webHidden/>
              </w:rPr>
              <w:fldChar w:fldCharType="begin"/>
            </w:r>
            <w:r w:rsidR="004505EE">
              <w:rPr>
                <w:webHidden/>
              </w:rPr>
              <w:instrText xml:space="preserve"> PAGEREF _Toc478043746 \h </w:instrText>
            </w:r>
            <w:r w:rsidR="004505EE">
              <w:rPr>
                <w:webHidden/>
              </w:rPr>
            </w:r>
            <w:r w:rsidR="004505EE">
              <w:rPr>
                <w:webHidden/>
              </w:rPr>
              <w:fldChar w:fldCharType="separate"/>
            </w:r>
            <w:r w:rsidR="004505EE">
              <w:rPr>
                <w:webHidden/>
              </w:rPr>
              <w:t>32</w:t>
            </w:r>
            <w:r w:rsidR="004505EE">
              <w:rPr>
                <w:webHidden/>
              </w:rPr>
              <w:fldChar w:fldCharType="end"/>
            </w:r>
          </w:hyperlink>
        </w:p>
        <w:p w:rsidR="004505EE" w:rsidRDefault="001B1496">
          <w:pPr>
            <w:pStyle w:val="TOC1"/>
            <w:rPr>
              <w:rFonts w:asciiTheme="minorHAnsi" w:eastAsiaTheme="minorEastAsia" w:hAnsiTheme="minorHAnsi" w:cstheme="minorBidi"/>
              <w:b w:val="0"/>
              <w:color w:val="auto"/>
              <w:lang w:eastAsia="bg-BG"/>
            </w:rPr>
          </w:pPr>
          <w:hyperlink w:anchor="_Toc478043747" w:history="1">
            <w:r w:rsidR="004505EE" w:rsidRPr="007B360C">
              <w:rPr>
                <w:rStyle w:val="Hyperlink"/>
                <w:rFonts w:eastAsia="Times New Roman"/>
                <w:lang w:eastAsia="bg-BG"/>
              </w:rPr>
              <w:t>5.</w:t>
            </w:r>
            <w:r w:rsidR="004505EE">
              <w:rPr>
                <w:rFonts w:asciiTheme="minorHAnsi" w:eastAsiaTheme="minorEastAsia" w:hAnsiTheme="minorHAnsi" w:cstheme="minorBidi"/>
                <w:b w:val="0"/>
                <w:color w:val="auto"/>
                <w:lang w:eastAsia="bg-BG"/>
              </w:rPr>
              <w:tab/>
            </w:r>
            <w:r w:rsidR="004505EE" w:rsidRPr="007B360C">
              <w:rPr>
                <w:rStyle w:val="Hyperlink"/>
                <w:rFonts w:eastAsia="Times New Roman"/>
                <w:lang w:eastAsia="bg-BG"/>
              </w:rPr>
              <w:t>ИЗВОДИ И ПРЕДЛОЖЕНИЯ ЗА ИЗПЪЛНЕНИЕТО НА ДЪЛГОСРОЧНИТЕ ЦЕЛИ И ПРИОРИТЕТИ НА ДЪРЖАВНАТА ПОЛИТИКА ЗА РЕГИОНАЛНО РАЗВИТИЕ, ВКЛЮЧИТЕЛНО ЗА АКТУАЛИЗАЦИЯ НА НАЦИОНАЛНАТА СТРАТЕГИЯ ЗА РЕГИОНАЛНО РАЗВИТИЕ</w:t>
            </w:r>
            <w:r w:rsidR="004505EE">
              <w:rPr>
                <w:webHidden/>
              </w:rPr>
              <w:tab/>
            </w:r>
            <w:r w:rsidR="004505EE">
              <w:rPr>
                <w:webHidden/>
              </w:rPr>
              <w:fldChar w:fldCharType="begin"/>
            </w:r>
            <w:r w:rsidR="004505EE">
              <w:rPr>
                <w:webHidden/>
              </w:rPr>
              <w:instrText xml:space="preserve"> PAGEREF _Toc478043747 \h </w:instrText>
            </w:r>
            <w:r w:rsidR="004505EE">
              <w:rPr>
                <w:webHidden/>
              </w:rPr>
            </w:r>
            <w:r w:rsidR="004505EE">
              <w:rPr>
                <w:webHidden/>
              </w:rPr>
              <w:fldChar w:fldCharType="separate"/>
            </w:r>
            <w:r w:rsidR="004505EE">
              <w:rPr>
                <w:webHidden/>
              </w:rPr>
              <w:t>34</w:t>
            </w:r>
            <w:r w:rsidR="004505EE">
              <w:rPr>
                <w:webHidden/>
              </w:rPr>
              <w:fldChar w:fldCharType="end"/>
            </w:r>
          </w:hyperlink>
        </w:p>
        <w:p w:rsidR="00342EED" w:rsidRDefault="00D73CC1">
          <w:pPr>
            <w:rPr>
              <w:rFonts w:ascii="Times New Roman" w:eastAsiaTheme="minorEastAsia" w:hAnsi="Times New Roman" w:cs="Times New Roman"/>
              <w:b/>
              <w:sz w:val="28"/>
              <w:szCs w:val="28"/>
            </w:rPr>
          </w:pPr>
          <w:r w:rsidRPr="0065250B">
            <w:rPr>
              <w:rFonts w:ascii="Times New Roman" w:eastAsiaTheme="minorEastAsia" w:hAnsi="Times New Roman" w:cs="Times New Roman"/>
              <w:b/>
              <w:sz w:val="24"/>
              <w:szCs w:val="24"/>
            </w:rPr>
            <w:fldChar w:fldCharType="end"/>
          </w:r>
        </w:p>
        <w:p w:rsidR="0065250B" w:rsidRDefault="0065250B">
          <w:pPr>
            <w:rPr>
              <w:rFonts w:ascii="Times New Roman" w:eastAsiaTheme="minorEastAsia" w:hAnsi="Times New Roman" w:cs="Times New Roman"/>
              <w:b/>
              <w:sz w:val="28"/>
              <w:szCs w:val="28"/>
            </w:rPr>
          </w:pPr>
        </w:p>
        <w:p w:rsidR="0065250B" w:rsidRDefault="0065250B">
          <w:pPr>
            <w:rPr>
              <w:rFonts w:ascii="Times New Roman" w:eastAsiaTheme="minorEastAsia" w:hAnsi="Times New Roman" w:cs="Times New Roman"/>
              <w:b/>
              <w:sz w:val="28"/>
              <w:szCs w:val="28"/>
            </w:rPr>
          </w:pPr>
        </w:p>
        <w:p w:rsidR="0065250B" w:rsidRDefault="0065250B">
          <w:pPr>
            <w:rPr>
              <w:rFonts w:ascii="Times New Roman" w:eastAsiaTheme="minorEastAsia" w:hAnsi="Times New Roman" w:cs="Times New Roman"/>
              <w:b/>
              <w:sz w:val="28"/>
              <w:szCs w:val="28"/>
            </w:rPr>
          </w:pPr>
        </w:p>
        <w:p w:rsidR="0065250B" w:rsidRDefault="0065250B">
          <w:pPr>
            <w:rPr>
              <w:rFonts w:ascii="Times New Roman" w:eastAsiaTheme="minorEastAsia" w:hAnsi="Times New Roman" w:cs="Times New Roman"/>
              <w:b/>
              <w:sz w:val="28"/>
              <w:szCs w:val="28"/>
            </w:rPr>
          </w:pPr>
        </w:p>
        <w:p w:rsidR="0065250B" w:rsidRDefault="0065250B">
          <w:pPr>
            <w:rPr>
              <w:rFonts w:ascii="Times New Roman" w:eastAsiaTheme="minorEastAsia" w:hAnsi="Times New Roman" w:cs="Times New Roman"/>
              <w:b/>
              <w:sz w:val="28"/>
              <w:szCs w:val="28"/>
            </w:rPr>
          </w:pPr>
        </w:p>
        <w:p w:rsidR="0065250B" w:rsidRDefault="0065250B">
          <w:pPr>
            <w:rPr>
              <w:rFonts w:ascii="Times New Roman" w:eastAsiaTheme="minorEastAsia" w:hAnsi="Times New Roman" w:cs="Times New Roman"/>
              <w:b/>
              <w:sz w:val="28"/>
              <w:szCs w:val="28"/>
            </w:rPr>
          </w:pPr>
        </w:p>
        <w:p w:rsidR="0065250B" w:rsidRDefault="0065250B">
          <w:pPr>
            <w:rPr>
              <w:rFonts w:ascii="Times New Roman" w:eastAsiaTheme="minorEastAsia" w:hAnsi="Times New Roman" w:cs="Times New Roman"/>
              <w:b/>
              <w:sz w:val="28"/>
              <w:szCs w:val="28"/>
            </w:rPr>
          </w:pPr>
        </w:p>
        <w:p w:rsidR="0065250B" w:rsidRDefault="0065250B">
          <w:pPr>
            <w:rPr>
              <w:rFonts w:ascii="Times New Roman" w:eastAsiaTheme="minorEastAsia" w:hAnsi="Times New Roman" w:cs="Times New Roman"/>
              <w:b/>
              <w:sz w:val="28"/>
              <w:szCs w:val="28"/>
            </w:rPr>
          </w:pPr>
        </w:p>
        <w:p w:rsidR="0065250B" w:rsidRDefault="00AC0C9B" w:rsidP="00AC0C9B">
          <w:pPr>
            <w:tabs>
              <w:tab w:val="left" w:pos="1710"/>
            </w:tabs>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ab/>
          </w:r>
        </w:p>
        <w:p w:rsidR="00717F4E" w:rsidRDefault="00717F4E">
          <w:pPr>
            <w:rPr>
              <w:rFonts w:ascii="Times New Roman" w:eastAsiaTheme="minorEastAsia" w:hAnsi="Times New Roman" w:cs="Times New Roman"/>
              <w:b/>
              <w:sz w:val="28"/>
              <w:szCs w:val="28"/>
            </w:rPr>
          </w:pPr>
        </w:p>
        <w:p w:rsidR="006B3AF1" w:rsidRDefault="006B3AF1" w:rsidP="006833B0">
          <w:pPr>
            <w:rPr>
              <w:rFonts w:ascii="Times New Roman" w:eastAsiaTheme="minorEastAsia" w:hAnsi="Times New Roman" w:cs="Times New Roman"/>
              <w:b/>
              <w:color w:val="2E74B5" w:themeColor="accent1" w:themeShade="BF"/>
              <w:sz w:val="24"/>
              <w:szCs w:val="28"/>
            </w:rPr>
          </w:pPr>
        </w:p>
        <w:p w:rsidR="00AC0C9B" w:rsidRDefault="00AC0C9B" w:rsidP="00AC0C9B">
          <w:pPr>
            <w:tabs>
              <w:tab w:val="left" w:pos="1440"/>
              <w:tab w:val="right" w:pos="9072"/>
            </w:tabs>
            <w:rPr>
              <w:rFonts w:ascii="Times New Roman" w:eastAsiaTheme="minorEastAsia" w:hAnsi="Times New Roman" w:cs="Times New Roman"/>
              <w:sz w:val="24"/>
              <w:szCs w:val="24"/>
            </w:rPr>
          </w:pPr>
        </w:p>
        <w:p w:rsidR="00342EED" w:rsidRPr="00EA389E" w:rsidRDefault="00342EED">
          <w:pPr>
            <w:rPr>
              <w:rFonts w:ascii="Times New Roman" w:eastAsiaTheme="minorEastAsia" w:hAnsi="Times New Roman" w:cs="Times New Roman"/>
              <w:b/>
              <w:sz w:val="28"/>
              <w:szCs w:val="28"/>
            </w:rPr>
          </w:pPr>
        </w:p>
        <w:p w:rsidR="0030416B" w:rsidRDefault="0030416B">
          <w:pPr>
            <w:rPr>
              <w:rFonts w:ascii="Times New Roman" w:eastAsiaTheme="minorEastAsia" w:hAnsi="Times New Roman" w:cs="Times New Roman"/>
              <w:b/>
              <w:color w:val="2E74B5" w:themeColor="accent1" w:themeShade="BF"/>
              <w:sz w:val="24"/>
              <w:szCs w:val="24"/>
            </w:rPr>
          </w:pPr>
          <w:r>
            <w:rPr>
              <w:rFonts w:ascii="Times New Roman" w:eastAsiaTheme="minorEastAsia" w:hAnsi="Times New Roman" w:cs="Times New Roman"/>
              <w:b/>
              <w:color w:val="2E74B5" w:themeColor="accent1" w:themeShade="BF"/>
              <w:sz w:val="24"/>
              <w:szCs w:val="24"/>
            </w:rPr>
            <w:br w:type="page"/>
          </w:r>
        </w:p>
        <w:p w:rsidR="005362DE" w:rsidRPr="00454807" w:rsidRDefault="001C2177" w:rsidP="002674AE">
          <w:pPr>
            <w:jc w:val="center"/>
            <w:rPr>
              <w:rFonts w:ascii="Times New Roman" w:eastAsiaTheme="minorEastAsia" w:hAnsi="Times New Roman" w:cs="Times New Roman"/>
              <w:b/>
              <w:color w:val="2E74B5" w:themeColor="accent1" w:themeShade="BF"/>
              <w:sz w:val="24"/>
              <w:szCs w:val="24"/>
            </w:rPr>
          </w:pPr>
          <w:r>
            <w:rPr>
              <w:rFonts w:ascii="Times New Roman" w:eastAsiaTheme="minorEastAsia" w:hAnsi="Times New Roman" w:cs="Times New Roman"/>
              <w:b/>
              <w:color w:val="2E74B5" w:themeColor="accent1" w:themeShade="BF"/>
              <w:sz w:val="24"/>
              <w:szCs w:val="24"/>
            </w:rPr>
            <w:lastRenderedPageBreak/>
            <w:t>СПИСЪК НА</w:t>
          </w:r>
          <w:r w:rsidR="00B93F78" w:rsidRPr="00454807">
            <w:rPr>
              <w:rFonts w:ascii="Times New Roman" w:eastAsiaTheme="minorEastAsia" w:hAnsi="Times New Roman" w:cs="Times New Roman"/>
              <w:b/>
              <w:color w:val="2E74B5" w:themeColor="accent1" w:themeShade="BF"/>
              <w:sz w:val="24"/>
              <w:szCs w:val="24"/>
            </w:rPr>
            <w:t xml:space="preserve"> СЪКРАЩЕНИЯ</w:t>
          </w:r>
          <w:r>
            <w:rPr>
              <w:rFonts w:ascii="Times New Roman" w:eastAsiaTheme="minorEastAsia" w:hAnsi="Times New Roman" w:cs="Times New Roman"/>
              <w:b/>
              <w:color w:val="2E74B5" w:themeColor="accent1" w:themeShade="BF"/>
              <w:sz w:val="24"/>
              <w:szCs w:val="24"/>
            </w:rPr>
            <w:t>ТА</w:t>
          </w:r>
        </w:p>
        <w:tbl>
          <w:tblPr>
            <w:tblStyle w:val="TableGrid"/>
            <w:tblW w:w="7196" w:type="dxa"/>
            <w:jc w:val="center"/>
            <w:tblLook w:val="04A0" w:firstRow="1" w:lastRow="0" w:firstColumn="1" w:lastColumn="0" w:noHBand="0" w:noVBand="1"/>
          </w:tblPr>
          <w:tblGrid>
            <w:gridCol w:w="1384"/>
            <w:gridCol w:w="5812"/>
          </w:tblGrid>
          <w:tr w:rsidR="005362DE" w:rsidRPr="00D73CC1" w:rsidTr="002674AE">
            <w:trPr>
              <w:jc w:val="center"/>
            </w:trPr>
            <w:tc>
              <w:tcPr>
                <w:tcW w:w="1384" w:type="dxa"/>
              </w:tcPr>
              <w:p w:rsidR="005362DE" w:rsidRPr="002674AE" w:rsidRDefault="005362DE" w:rsidP="002674AE">
                <w:pPr>
                  <w:rPr>
                    <w:rFonts w:ascii="Times New Roman" w:hAnsi="Times New Roman" w:cs="Times New Roman"/>
                    <w:sz w:val="20"/>
                    <w:szCs w:val="20"/>
                  </w:rPr>
                </w:pPr>
                <w:r w:rsidRPr="002674AE">
                  <w:rPr>
                    <w:rFonts w:ascii="Times New Roman" w:hAnsi="Times New Roman" w:cs="Times New Roman"/>
                    <w:sz w:val="20"/>
                    <w:szCs w:val="20"/>
                  </w:rPr>
                  <w:t>Съкращение</w:t>
                </w:r>
              </w:p>
            </w:tc>
            <w:tc>
              <w:tcPr>
                <w:tcW w:w="5812" w:type="dxa"/>
              </w:tcPr>
              <w:p w:rsidR="005362DE" w:rsidRPr="002674AE" w:rsidRDefault="005362DE" w:rsidP="002674AE">
                <w:pPr>
                  <w:rPr>
                    <w:rFonts w:ascii="Times New Roman" w:hAnsi="Times New Roman" w:cs="Times New Roman"/>
                    <w:sz w:val="20"/>
                    <w:szCs w:val="20"/>
                  </w:rPr>
                </w:pPr>
                <w:r w:rsidRPr="002674AE">
                  <w:rPr>
                    <w:rFonts w:ascii="Times New Roman" w:hAnsi="Times New Roman" w:cs="Times New Roman"/>
                    <w:sz w:val="20"/>
                    <w:szCs w:val="20"/>
                  </w:rPr>
                  <w:t>Дефиниция</w:t>
                </w:r>
              </w:p>
            </w:tc>
          </w:tr>
          <w:tr w:rsidR="00AE6EB6" w:rsidRPr="00D73CC1" w:rsidTr="002674AE">
            <w:trPr>
              <w:trHeight w:val="162"/>
              <w:jc w:val="center"/>
            </w:trPr>
            <w:tc>
              <w:tcPr>
                <w:tcW w:w="1384" w:type="dxa"/>
              </w:tcPr>
              <w:p w:rsidR="00AE6EB6" w:rsidRPr="002674AE" w:rsidRDefault="00AE6EB6" w:rsidP="00081B78">
                <w:pPr>
                  <w:rPr>
                    <w:rFonts w:ascii="Times New Roman" w:hAnsi="Times New Roman" w:cs="Times New Roman"/>
                    <w:sz w:val="20"/>
                    <w:szCs w:val="20"/>
                  </w:rPr>
                </w:pPr>
                <w:r w:rsidRPr="002674AE">
                  <w:rPr>
                    <w:rFonts w:ascii="Times New Roman" w:hAnsi="Times New Roman" w:cs="Times New Roman"/>
                    <w:sz w:val="20"/>
                    <w:szCs w:val="20"/>
                  </w:rPr>
                  <w:t>АПИ</w:t>
                </w:r>
              </w:p>
            </w:tc>
            <w:tc>
              <w:tcPr>
                <w:tcW w:w="5812" w:type="dxa"/>
              </w:tcPr>
              <w:p w:rsidR="00AE6EB6" w:rsidRPr="002674AE" w:rsidRDefault="00AE6EB6" w:rsidP="00081B78">
                <w:pPr>
                  <w:rPr>
                    <w:rFonts w:ascii="Times New Roman" w:hAnsi="Times New Roman" w:cs="Times New Roman"/>
                    <w:sz w:val="20"/>
                    <w:szCs w:val="20"/>
                  </w:rPr>
                </w:pPr>
                <w:r w:rsidRPr="002674AE">
                  <w:rPr>
                    <w:rFonts w:ascii="Times New Roman" w:hAnsi="Times New Roman" w:cs="Times New Roman"/>
                    <w:sz w:val="20"/>
                    <w:szCs w:val="20"/>
                  </w:rPr>
                  <w:t>Агенция пътна инфраструктура</w:t>
                </w:r>
              </w:p>
            </w:tc>
          </w:tr>
          <w:tr w:rsidR="00AE6EB6" w:rsidRPr="00D73CC1" w:rsidTr="002674AE">
            <w:trPr>
              <w:jc w:val="center"/>
            </w:trPr>
            <w:tc>
              <w:tcPr>
                <w:tcW w:w="1384" w:type="dxa"/>
              </w:tcPr>
              <w:p w:rsidR="00AE6EB6" w:rsidRPr="002674AE" w:rsidRDefault="00AE6EB6" w:rsidP="00081B78">
                <w:pPr>
                  <w:rPr>
                    <w:rFonts w:ascii="Times New Roman" w:hAnsi="Times New Roman" w:cs="Times New Roman"/>
                    <w:sz w:val="20"/>
                    <w:szCs w:val="20"/>
                  </w:rPr>
                </w:pPr>
                <w:r w:rsidRPr="002674AE">
                  <w:rPr>
                    <w:rFonts w:ascii="Times New Roman" w:hAnsi="Times New Roman" w:cs="Times New Roman"/>
                    <w:sz w:val="20"/>
                    <w:szCs w:val="20"/>
                  </w:rPr>
                  <w:t>БВП</w:t>
                </w:r>
              </w:p>
            </w:tc>
            <w:tc>
              <w:tcPr>
                <w:tcW w:w="5812" w:type="dxa"/>
              </w:tcPr>
              <w:p w:rsidR="00AE6EB6" w:rsidRPr="002674AE" w:rsidRDefault="00AE6EB6" w:rsidP="00081B78">
                <w:pPr>
                  <w:rPr>
                    <w:rFonts w:ascii="Times New Roman" w:hAnsi="Times New Roman" w:cs="Times New Roman"/>
                    <w:sz w:val="20"/>
                    <w:szCs w:val="20"/>
                  </w:rPr>
                </w:pPr>
                <w:r w:rsidRPr="002674AE">
                  <w:rPr>
                    <w:rFonts w:ascii="Times New Roman" w:hAnsi="Times New Roman" w:cs="Times New Roman"/>
                    <w:sz w:val="20"/>
                    <w:szCs w:val="20"/>
                    <w:lang w:val="en-US"/>
                  </w:rPr>
                  <w:t>Брутен в</w:t>
                </w:r>
                <w:r w:rsidRPr="002674AE">
                  <w:rPr>
                    <w:rFonts w:ascii="Times New Roman" w:hAnsi="Times New Roman" w:cs="Times New Roman"/>
                    <w:sz w:val="20"/>
                    <w:szCs w:val="20"/>
                  </w:rPr>
                  <w:t>ътрешен продукт</w:t>
                </w:r>
              </w:p>
            </w:tc>
          </w:tr>
          <w:tr w:rsidR="00AE6EB6" w:rsidRPr="00D73CC1" w:rsidTr="002674AE">
            <w:trPr>
              <w:jc w:val="center"/>
            </w:trPr>
            <w:tc>
              <w:tcPr>
                <w:tcW w:w="1384" w:type="dxa"/>
              </w:tcPr>
              <w:p w:rsidR="00AE6EB6" w:rsidRPr="002674AE" w:rsidRDefault="000D552F" w:rsidP="00081B78">
                <w:pP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БДС</w:t>
                </w:r>
              </w:p>
            </w:tc>
            <w:tc>
              <w:tcPr>
                <w:tcW w:w="5812" w:type="dxa"/>
              </w:tcPr>
              <w:p w:rsidR="00AE6EB6" w:rsidRPr="002674AE" w:rsidRDefault="00B851EE" w:rsidP="00081B78">
                <w:pPr>
                  <w:rPr>
                    <w:rFonts w:ascii="Times New Roman" w:eastAsia="Times New Roman" w:hAnsi="Times New Roman" w:cs="Times New Roman"/>
                    <w:sz w:val="20"/>
                    <w:szCs w:val="20"/>
                  </w:rPr>
                </w:pPr>
                <w:r>
                  <w:rPr>
                    <w:rFonts w:ascii="Times New Roman" w:eastAsia="Times New Roman" w:hAnsi="Times New Roman" w:cs="Times New Roman"/>
                    <w:sz w:val="20"/>
                    <w:szCs w:val="20"/>
                  </w:rPr>
                  <w:t>Брутна добавена стойност</w:t>
                </w:r>
              </w:p>
            </w:tc>
          </w:tr>
          <w:tr w:rsidR="007351A1" w:rsidRPr="00D73CC1" w:rsidTr="002674AE">
            <w:trPr>
              <w:jc w:val="center"/>
            </w:trPr>
            <w:tc>
              <w:tcPr>
                <w:tcW w:w="1384" w:type="dxa"/>
              </w:tcPr>
              <w:p w:rsidR="007351A1" w:rsidRPr="002674AE" w:rsidRDefault="007351A1" w:rsidP="00081B78">
                <w:pPr>
                  <w:rPr>
                    <w:rFonts w:ascii="Times New Roman" w:eastAsia="Times New Roman" w:hAnsi="Times New Roman" w:cs="Times New Roman"/>
                    <w:sz w:val="20"/>
                    <w:szCs w:val="20"/>
                    <w:lang w:eastAsia="bg-BG"/>
                  </w:rPr>
                </w:pPr>
                <w:r w:rsidRPr="002674AE">
                  <w:rPr>
                    <w:rFonts w:ascii="Times New Roman" w:eastAsia="Calibri" w:hAnsi="Times New Roman" w:cs="Times New Roman"/>
                    <w:bCs/>
                    <w:sz w:val="20"/>
                    <w:szCs w:val="20"/>
                  </w:rPr>
                  <w:t>ВЕИ</w:t>
                </w:r>
              </w:p>
            </w:tc>
            <w:tc>
              <w:tcPr>
                <w:tcW w:w="5812" w:type="dxa"/>
              </w:tcPr>
              <w:p w:rsidR="007351A1" w:rsidRPr="002674AE" w:rsidRDefault="001B1496" w:rsidP="00081B78">
                <w:pPr>
                  <w:rPr>
                    <w:rFonts w:ascii="Times New Roman" w:eastAsia="Times New Roman" w:hAnsi="Times New Roman" w:cs="Times New Roman"/>
                    <w:sz w:val="20"/>
                    <w:szCs w:val="20"/>
                  </w:rPr>
                </w:pPr>
                <w:hyperlink r:id="rId9" w:history="1">
                  <w:r w:rsidR="007351A1" w:rsidRPr="002674AE">
                    <w:rPr>
                      <w:rStyle w:val="Hyperlink"/>
                      <w:rFonts w:ascii="Times New Roman" w:hAnsi="Times New Roman" w:cs="Times New Roman"/>
                      <w:bCs/>
                      <w:color w:val="auto"/>
                      <w:sz w:val="20"/>
                      <w:szCs w:val="20"/>
                      <w:u w:val="none"/>
                    </w:rPr>
                    <w:t>Възобновяеми енергийни източници</w:t>
                  </w:r>
                </w:hyperlink>
              </w:p>
            </w:tc>
          </w:tr>
          <w:tr w:rsidR="007351A1" w:rsidRPr="00D73CC1" w:rsidTr="002674AE">
            <w:trPr>
              <w:jc w:val="center"/>
            </w:trPr>
            <w:tc>
              <w:tcPr>
                <w:tcW w:w="1384" w:type="dxa"/>
              </w:tcPr>
              <w:p w:rsidR="007351A1" w:rsidRPr="002674AE" w:rsidRDefault="0069609A" w:rsidP="00081B78">
                <w:pPr>
                  <w:rPr>
                    <w:rFonts w:ascii="Times New Roman" w:hAnsi="Times New Roman" w:cs="Times New Roman"/>
                    <w:sz w:val="20"/>
                    <w:szCs w:val="20"/>
                  </w:rPr>
                </w:pPr>
                <w:r>
                  <w:rPr>
                    <w:rFonts w:ascii="Times New Roman" w:hAnsi="Times New Roman" w:cs="Times New Roman"/>
                    <w:sz w:val="20"/>
                    <w:szCs w:val="20"/>
                  </w:rPr>
                  <w:t>ВЕЦ</w:t>
                </w:r>
              </w:p>
            </w:tc>
            <w:tc>
              <w:tcPr>
                <w:tcW w:w="5812" w:type="dxa"/>
              </w:tcPr>
              <w:p w:rsidR="007351A1" w:rsidRPr="002674AE" w:rsidRDefault="00A0011B" w:rsidP="00081B78">
                <w:pPr>
                  <w:rPr>
                    <w:rFonts w:ascii="Times New Roman" w:hAnsi="Times New Roman" w:cs="Times New Roman"/>
                    <w:sz w:val="20"/>
                    <w:szCs w:val="20"/>
                  </w:rPr>
                </w:pPr>
                <w:r w:rsidRPr="00A0011B">
                  <w:rPr>
                    <w:rFonts w:ascii="Times New Roman" w:hAnsi="Times New Roman" w:cs="Times New Roman"/>
                    <w:sz w:val="20"/>
                    <w:szCs w:val="20"/>
                  </w:rPr>
                  <w:t>Водноелектрическа централа</w:t>
                </w:r>
              </w:p>
            </w:tc>
          </w:tr>
          <w:tr w:rsidR="0069609A" w:rsidRPr="00D73CC1" w:rsidTr="002674AE">
            <w:trPr>
              <w:jc w:val="center"/>
            </w:trPr>
            <w:tc>
              <w:tcPr>
                <w:tcW w:w="1384" w:type="dxa"/>
              </w:tcPr>
              <w:p w:rsidR="0069609A" w:rsidRPr="002674AE" w:rsidRDefault="0069609A" w:rsidP="00081B78">
                <w:pPr>
                  <w:rPr>
                    <w:rFonts w:ascii="Times New Roman" w:hAnsi="Times New Roman" w:cs="Times New Roman"/>
                    <w:sz w:val="20"/>
                    <w:szCs w:val="20"/>
                  </w:rPr>
                </w:pPr>
                <w:r w:rsidRPr="002674AE">
                  <w:rPr>
                    <w:rFonts w:ascii="Times New Roman" w:eastAsia="Times New Roman" w:hAnsi="Times New Roman" w:cs="Times New Roman"/>
                    <w:sz w:val="20"/>
                    <w:szCs w:val="20"/>
                    <w:lang w:eastAsia="bg-BG"/>
                  </w:rPr>
                  <w:t>ВиК</w:t>
                </w:r>
              </w:p>
            </w:tc>
            <w:tc>
              <w:tcPr>
                <w:tcW w:w="5812" w:type="dxa"/>
              </w:tcPr>
              <w:p w:rsidR="0069609A" w:rsidRPr="002674AE" w:rsidRDefault="0069609A" w:rsidP="00081B78">
                <w:pPr>
                  <w:rPr>
                    <w:rFonts w:ascii="Times New Roman" w:hAnsi="Times New Roman" w:cs="Times New Roman"/>
                    <w:sz w:val="20"/>
                    <w:szCs w:val="20"/>
                  </w:rPr>
                </w:pPr>
                <w:r w:rsidRPr="002674AE">
                  <w:rPr>
                    <w:rFonts w:ascii="Times New Roman" w:hAnsi="Times New Roman" w:cs="Times New Roman"/>
                    <w:sz w:val="20"/>
                    <w:szCs w:val="20"/>
                  </w:rPr>
                  <w:t>Водоснабдяване и канализация</w:t>
                </w:r>
              </w:p>
            </w:tc>
          </w:tr>
          <w:tr w:rsidR="00AE6241" w:rsidRPr="00D73CC1" w:rsidTr="002674AE">
            <w:trPr>
              <w:jc w:val="center"/>
            </w:trPr>
            <w:tc>
              <w:tcPr>
                <w:tcW w:w="1384" w:type="dxa"/>
              </w:tcPr>
              <w:p w:rsidR="00AE6241" w:rsidRDefault="00AE6241" w:rsidP="002674AE">
                <w:pP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ГИС</w:t>
                </w:r>
              </w:p>
            </w:tc>
            <w:tc>
              <w:tcPr>
                <w:tcW w:w="5812" w:type="dxa"/>
              </w:tcPr>
              <w:p w:rsidR="00AE6241" w:rsidRDefault="00AE6241" w:rsidP="002674AE">
                <w:pPr>
                  <w:rPr>
                    <w:rFonts w:ascii="Times New Roman" w:eastAsia="Times New Roman" w:hAnsi="Times New Roman" w:cs="Times New Roman"/>
                    <w:sz w:val="20"/>
                    <w:szCs w:val="20"/>
                  </w:rPr>
                </w:pPr>
                <w:r w:rsidRPr="00AE6241">
                  <w:rPr>
                    <w:rFonts w:ascii="Times New Roman" w:eastAsia="Times New Roman" w:hAnsi="Times New Roman" w:cs="Times New Roman"/>
                    <w:sz w:val="20"/>
                    <w:szCs w:val="20"/>
                  </w:rPr>
                  <w:t>Географска информационна система</w:t>
                </w:r>
              </w:p>
            </w:tc>
          </w:tr>
          <w:tr w:rsidR="005362DE" w:rsidRPr="00D73CC1" w:rsidTr="002674AE">
            <w:trPr>
              <w:jc w:val="center"/>
            </w:trPr>
            <w:tc>
              <w:tcPr>
                <w:tcW w:w="1384" w:type="dxa"/>
              </w:tcPr>
              <w:p w:rsidR="005362DE" w:rsidRPr="002674AE" w:rsidRDefault="00592A54" w:rsidP="002674AE">
                <w:pP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ГКПП</w:t>
                </w:r>
              </w:p>
            </w:tc>
            <w:tc>
              <w:tcPr>
                <w:tcW w:w="5812" w:type="dxa"/>
              </w:tcPr>
              <w:p w:rsidR="005362DE" w:rsidRPr="002674AE" w:rsidRDefault="00EE7994" w:rsidP="002674AE">
                <w:pPr>
                  <w:rPr>
                    <w:rFonts w:ascii="Times New Roman" w:eastAsia="Times New Roman" w:hAnsi="Times New Roman" w:cs="Times New Roman"/>
                    <w:sz w:val="20"/>
                    <w:szCs w:val="20"/>
                  </w:rPr>
                </w:pPr>
                <w:r>
                  <w:rPr>
                    <w:rFonts w:ascii="Times New Roman" w:eastAsia="Times New Roman" w:hAnsi="Times New Roman" w:cs="Times New Roman"/>
                    <w:sz w:val="20"/>
                    <w:szCs w:val="20"/>
                  </w:rPr>
                  <w:t>Г</w:t>
                </w:r>
                <w:r w:rsidRPr="00EE7994">
                  <w:rPr>
                    <w:rFonts w:ascii="Times New Roman" w:eastAsia="Times New Roman" w:hAnsi="Times New Roman" w:cs="Times New Roman"/>
                    <w:sz w:val="20"/>
                    <w:szCs w:val="20"/>
                  </w:rPr>
                  <w:t>раничен контролно-пропускателен пункт</w:t>
                </w:r>
              </w:p>
            </w:tc>
          </w:tr>
          <w:tr w:rsidR="005362DE" w:rsidRPr="00D73CC1" w:rsidTr="002674AE">
            <w:trPr>
              <w:jc w:val="center"/>
            </w:trPr>
            <w:tc>
              <w:tcPr>
                <w:tcW w:w="1384" w:type="dxa"/>
              </w:tcPr>
              <w:p w:rsidR="005362DE" w:rsidRPr="002674AE" w:rsidRDefault="002B0337" w:rsidP="002674AE">
                <w:pPr>
                  <w:rPr>
                    <w:rFonts w:ascii="Times New Roman" w:hAnsi="Times New Roman" w:cs="Times New Roman"/>
                    <w:sz w:val="20"/>
                    <w:szCs w:val="20"/>
                  </w:rPr>
                </w:pPr>
                <w:r>
                  <w:rPr>
                    <w:rFonts w:ascii="Times New Roman" w:hAnsi="Times New Roman" w:cs="Times New Roman"/>
                    <w:sz w:val="20"/>
                    <w:szCs w:val="20"/>
                  </w:rPr>
                  <w:t>ЕС</w:t>
                </w:r>
              </w:p>
            </w:tc>
            <w:tc>
              <w:tcPr>
                <w:tcW w:w="5812" w:type="dxa"/>
              </w:tcPr>
              <w:p w:rsidR="005362DE" w:rsidRPr="002674AE" w:rsidRDefault="002B0337" w:rsidP="002674AE">
                <w:pPr>
                  <w:rPr>
                    <w:rFonts w:ascii="Times New Roman" w:hAnsi="Times New Roman" w:cs="Times New Roman"/>
                    <w:sz w:val="20"/>
                    <w:szCs w:val="20"/>
                  </w:rPr>
                </w:pPr>
                <w:r>
                  <w:rPr>
                    <w:rFonts w:ascii="Times New Roman" w:hAnsi="Times New Roman" w:cs="Times New Roman"/>
                    <w:sz w:val="20"/>
                    <w:szCs w:val="20"/>
                  </w:rPr>
                  <w:t>Европейски съюз</w:t>
                </w:r>
              </w:p>
            </w:tc>
          </w:tr>
          <w:tr w:rsidR="002B0337" w:rsidRPr="00D73CC1" w:rsidTr="002674AE">
            <w:trPr>
              <w:jc w:val="center"/>
            </w:trPr>
            <w:tc>
              <w:tcPr>
                <w:tcW w:w="1384" w:type="dxa"/>
              </w:tcPr>
              <w:p w:rsidR="002B0337" w:rsidRPr="002674AE" w:rsidRDefault="002B0337" w:rsidP="00081B78">
                <w:pPr>
                  <w:rPr>
                    <w:rFonts w:ascii="Times New Roman" w:hAnsi="Times New Roman" w:cs="Times New Roman"/>
                    <w:sz w:val="20"/>
                    <w:szCs w:val="20"/>
                  </w:rPr>
                </w:pPr>
                <w:r w:rsidRPr="002674AE">
                  <w:rPr>
                    <w:rFonts w:ascii="Times New Roman" w:hAnsi="Times New Roman" w:cs="Times New Roman"/>
                    <w:sz w:val="20"/>
                    <w:szCs w:val="20"/>
                  </w:rPr>
                  <w:t>ЗРР</w:t>
                </w:r>
              </w:p>
            </w:tc>
            <w:tc>
              <w:tcPr>
                <w:tcW w:w="5812" w:type="dxa"/>
              </w:tcPr>
              <w:p w:rsidR="002B0337" w:rsidRPr="002674AE" w:rsidRDefault="002B0337" w:rsidP="00081B78">
                <w:pPr>
                  <w:rPr>
                    <w:rFonts w:ascii="Times New Roman" w:hAnsi="Times New Roman" w:cs="Times New Roman"/>
                    <w:sz w:val="20"/>
                    <w:szCs w:val="20"/>
                  </w:rPr>
                </w:pPr>
                <w:r w:rsidRPr="002674AE">
                  <w:rPr>
                    <w:rFonts w:ascii="Times New Roman" w:eastAsia="SimSun" w:hAnsi="Times New Roman" w:cs="Times New Roman"/>
                    <w:sz w:val="20"/>
                    <w:szCs w:val="20"/>
                    <w:lang w:eastAsia="zh-CN"/>
                  </w:rPr>
                  <w:t>Закон за регионалното развитие</w:t>
                </w:r>
              </w:p>
            </w:tc>
          </w:tr>
          <w:tr w:rsidR="005362DE" w:rsidRPr="00D73CC1" w:rsidTr="002674AE">
            <w:trPr>
              <w:jc w:val="center"/>
            </w:trPr>
            <w:tc>
              <w:tcPr>
                <w:tcW w:w="1384" w:type="dxa"/>
              </w:tcPr>
              <w:p w:rsidR="005362DE" w:rsidRPr="002674AE" w:rsidRDefault="005362DE" w:rsidP="002674AE">
                <w:pPr>
                  <w:rPr>
                    <w:rFonts w:ascii="Times New Roman" w:hAnsi="Times New Roman" w:cs="Times New Roman"/>
                    <w:sz w:val="20"/>
                    <w:szCs w:val="20"/>
                  </w:rPr>
                </w:pPr>
                <w:r w:rsidRPr="002674AE">
                  <w:rPr>
                    <w:rFonts w:ascii="Times New Roman" w:eastAsia="Times New Roman" w:hAnsi="Times New Roman" w:cs="Times New Roman"/>
                    <w:sz w:val="20"/>
                    <w:szCs w:val="20"/>
                    <w:lang w:eastAsia="bg-BG"/>
                  </w:rPr>
                  <w:t>ИПГВР</w:t>
                </w:r>
              </w:p>
            </w:tc>
            <w:tc>
              <w:tcPr>
                <w:tcW w:w="5812" w:type="dxa"/>
              </w:tcPr>
              <w:p w:rsidR="005362DE" w:rsidRPr="002674AE" w:rsidRDefault="005362DE" w:rsidP="002674AE">
                <w:pPr>
                  <w:rPr>
                    <w:rFonts w:ascii="Times New Roman" w:hAnsi="Times New Roman" w:cs="Times New Roman"/>
                    <w:sz w:val="20"/>
                    <w:szCs w:val="20"/>
                  </w:rPr>
                </w:pPr>
                <w:r w:rsidRPr="002674AE">
                  <w:rPr>
                    <w:rFonts w:ascii="Times New Roman" w:eastAsia="Times New Roman" w:hAnsi="Times New Roman" w:cs="Times New Roman"/>
                    <w:sz w:val="20"/>
                    <w:szCs w:val="20"/>
                    <w:lang w:eastAsia="bg-BG"/>
                  </w:rPr>
                  <w:t>Интегриран план за градско възстановяване и развитие</w:t>
                </w:r>
              </w:p>
            </w:tc>
          </w:tr>
          <w:tr w:rsidR="005362DE" w:rsidRPr="00D73CC1" w:rsidTr="002674AE">
            <w:trPr>
              <w:jc w:val="center"/>
            </w:trPr>
            <w:tc>
              <w:tcPr>
                <w:tcW w:w="1384" w:type="dxa"/>
              </w:tcPr>
              <w:p w:rsidR="005362DE" w:rsidRPr="002674AE" w:rsidRDefault="005362DE" w:rsidP="002674AE">
                <w:pPr>
                  <w:rPr>
                    <w:rFonts w:ascii="Times New Roman" w:hAnsi="Times New Roman" w:cs="Times New Roman"/>
                    <w:sz w:val="20"/>
                    <w:szCs w:val="20"/>
                  </w:rPr>
                </w:pPr>
                <w:r w:rsidRPr="002674AE">
                  <w:rPr>
                    <w:rFonts w:ascii="Times New Roman" w:hAnsi="Times New Roman" w:cs="Times New Roman"/>
                    <w:sz w:val="20"/>
                    <w:szCs w:val="20"/>
                  </w:rPr>
                  <w:t>ИСУН</w:t>
                </w:r>
              </w:p>
            </w:tc>
            <w:tc>
              <w:tcPr>
                <w:tcW w:w="5812" w:type="dxa"/>
              </w:tcPr>
              <w:p w:rsidR="005362DE" w:rsidRPr="002674AE" w:rsidRDefault="005362DE" w:rsidP="002674AE">
                <w:pPr>
                  <w:rPr>
                    <w:rFonts w:ascii="Times New Roman" w:hAnsi="Times New Roman" w:cs="Times New Roman"/>
                    <w:sz w:val="20"/>
                    <w:szCs w:val="20"/>
                  </w:rPr>
                </w:pPr>
                <w:r w:rsidRPr="002674AE">
                  <w:rPr>
                    <w:rFonts w:ascii="Times New Roman" w:hAnsi="Times New Roman" w:cs="Times New Roman"/>
                    <w:sz w:val="20"/>
                    <w:szCs w:val="20"/>
                  </w:rPr>
                  <w:t>Информационна система за управление и наблюдение</w:t>
                </w:r>
              </w:p>
            </w:tc>
          </w:tr>
          <w:tr w:rsidR="005362DE" w:rsidRPr="00D73CC1" w:rsidTr="002674AE">
            <w:trPr>
              <w:jc w:val="center"/>
            </w:trPr>
            <w:tc>
              <w:tcPr>
                <w:tcW w:w="1384" w:type="dxa"/>
              </w:tcPr>
              <w:p w:rsidR="005362DE" w:rsidRPr="002674AE" w:rsidRDefault="00D6178B" w:rsidP="002674AE">
                <w:pP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ИТИ</w:t>
                </w:r>
              </w:p>
            </w:tc>
            <w:tc>
              <w:tcPr>
                <w:tcW w:w="5812" w:type="dxa"/>
              </w:tcPr>
              <w:p w:rsidR="005362DE" w:rsidRPr="002674AE" w:rsidRDefault="00CA073D" w:rsidP="002674AE">
                <w:pPr>
                  <w:rPr>
                    <w:rFonts w:ascii="Times New Roman" w:eastAsia="Times New Roman" w:hAnsi="Times New Roman" w:cs="Times New Roman"/>
                    <w:sz w:val="20"/>
                    <w:szCs w:val="20"/>
                  </w:rPr>
                </w:pPr>
                <w:r>
                  <w:rPr>
                    <w:rFonts w:ascii="Times New Roman" w:eastAsia="Times New Roman" w:hAnsi="Times New Roman" w:cs="Times New Roman"/>
                    <w:sz w:val="20"/>
                    <w:szCs w:val="20"/>
                  </w:rPr>
                  <w:t>Интегрирани</w:t>
                </w:r>
                <w:r w:rsidRPr="00CA073D">
                  <w:rPr>
                    <w:rFonts w:ascii="Times New Roman" w:eastAsia="Times New Roman" w:hAnsi="Times New Roman" w:cs="Times New Roman"/>
                    <w:sz w:val="20"/>
                    <w:szCs w:val="20"/>
                  </w:rPr>
                  <w:t xml:space="preserve"> териториални инвестиции</w:t>
                </w:r>
              </w:p>
            </w:tc>
          </w:tr>
          <w:tr w:rsidR="005362DE" w:rsidRPr="00D73CC1" w:rsidTr="002674AE">
            <w:trPr>
              <w:jc w:val="center"/>
            </w:trPr>
            <w:tc>
              <w:tcPr>
                <w:tcW w:w="1384" w:type="dxa"/>
              </w:tcPr>
              <w:p w:rsidR="005362DE" w:rsidRPr="002674AE" w:rsidRDefault="005362DE" w:rsidP="002674AE">
                <w:pPr>
                  <w:rPr>
                    <w:rFonts w:ascii="Times New Roman" w:eastAsia="Times New Roman" w:hAnsi="Times New Roman" w:cs="Times New Roman"/>
                    <w:sz w:val="20"/>
                    <w:szCs w:val="20"/>
                    <w:lang w:eastAsia="bg-BG"/>
                  </w:rPr>
                </w:pPr>
                <w:r w:rsidRPr="002674AE">
                  <w:rPr>
                    <w:rFonts w:ascii="Times New Roman" w:eastAsia="Times New Roman" w:hAnsi="Times New Roman" w:cs="Times New Roman"/>
                    <w:sz w:val="20"/>
                    <w:szCs w:val="20"/>
                    <w:lang w:eastAsia="bg-BG"/>
                  </w:rPr>
                  <w:t>МРРБ</w:t>
                </w:r>
              </w:p>
            </w:tc>
            <w:tc>
              <w:tcPr>
                <w:tcW w:w="5812" w:type="dxa"/>
              </w:tcPr>
              <w:p w:rsidR="005362DE" w:rsidRPr="002674AE" w:rsidRDefault="001B1496" w:rsidP="002674AE">
                <w:pPr>
                  <w:rPr>
                    <w:rFonts w:ascii="Times New Roman" w:eastAsia="Times New Roman" w:hAnsi="Times New Roman" w:cs="Times New Roman"/>
                    <w:sz w:val="20"/>
                    <w:szCs w:val="20"/>
                  </w:rPr>
                </w:pPr>
                <w:hyperlink r:id="rId10" w:history="1">
                  <w:r w:rsidR="005362DE" w:rsidRPr="002674AE">
                    <w:rPr>
                      <w:rStyle w:val="Hyperlink"/>
                      <w:rFonts w:ascii="Times New Roman" w:hAnsi="Times New Roman" w:cs="Times New Roman"/>
                      <w:bCs/>
                      <w:color w:val="auto"/>
                      <w:sz w:val="20"/>
                      <w:szCs w:val="20"/>
                      <w:u w:val="none"/>
                    </w:rPr>
                    <w:t>Министерство на регионалното развитие и благоустройст</w:t>
                  </w:r>
                </w:hyperlink>
                <w:r w:rsidR="005362DE" w:rsidRPr="002674AE">
                  <w:rPr>
                    <w:rFonts w:ascii="Times New Roman" w:hAnsi="Times New Roman" w:cs="Times New Roman"/>
                    <w:bCs/>
                    <w:sz w:val="20"/>
                    <w:szCs w:val="20"/>
                  </w:rPr>
                  <w:t>во</w:t>
                </w:r>
              </w:p>
            </w:tc>
          </w:tr>
          <w:tr w:rsidR="005362DE" w:rsidRPr="00D73CC1" w:rsidTr="002674AE">
            <w:trPr>
              <w:jc w:val="center"/>
            </w:trPr>
            <w:tc>
              <w:tcPr>
                <w:tcW w:w="1384" w:type="dxa"/>
              </w:tcPr>
              <w:p w:rsidR="005362DE" w:rsidRPr="002674AE" w:rsidRDefault="005362DE" w:rsidP="002674AE">
                <w:pPr>
                  <w:rPr>
                    <w:rFonts w:ascii="Times New Roman" w:hAnsi="Times New Roman" w:cs="Times New Roman"/>
                    <w:sz w:val="20"/>
                    <w:szCs w:val="20"/>
                  </w:rPr>
                </w:pPr>
                <w:r w:rsidRPr="002674AE">
                  <w:rPr>
                    <w:rFonts w:ascii="Times New Roman" w:eastAsia="Times New Roman" w:hAnsi="Times New Roman" w:cs="Times New Roman"/>
                    <w:sz w:val="20"/>
                    <w:szCs w:val="20"/>
                    <w:lang w:eastAsia="bg-BG"/>
                  </w:rPr>
                  <w:t>МСП</w:t>
                </w:r>
              </w:p>
            </w:tc>
            <w:tc>
              <w:tcPr>
                <w:tcW w:w="5812" w:type="dxa"/>
              </w:tcPr>
              <w:p w:rsidR="005362DE" w:rsidRPr="002674AE" w:rsidRDefault="005362DE" w:rsidP="002674AE">
                <w:pPr>
                  <w:rPr>
                    <w:rFonts w:ascii="Times New Roman" w:hAnsi="Times New Roman" w:cs="Times New Roman"/>
                    <w:sz w:val="20"/>
                    <w:szCs w:val="20"/>
                  </w:rPr>
                </w:pPr>
                <w:r w:rsidRPr="002674AE">
                  <w:rPr>
                    <w:rFonts w:ascii="Times New Roman" w:eastAsia="Times New Roman" w:hAnsi="Times New Roman" w:cs="Times New Roman"/>
                    <w:sz w:val="20"/>
                    <w:szCs w:val="20"/>
                    <w:lang w:eastAsia="bg-BG"/>
                  </w:rPr>
                  <w:t>Малки и средни предприятия</w:t>
                </w:r>
              </w:p>
            </w:tc>
          </w:tr>
          <w:tr w:rsidR="005362DE" w:rsidRPr="00D73CC1" w:rsidTr="002674AE">
            <w:trPr>
              <w:jc w:val="center"/>
            </w:trPr>
            <w:tc>
              <w:tcPr>
                <w:tcW w:w="1384" w:type="dxa"/>
              </w:tcPr>
              <w:p w:rsidR="005362DE" w:rsidRPr="002674AE" w:rsidRDefault="005362DE" w:rsidP="002674AE">
                <w:pPr>
                  <w:rPr>
                    <w:rFonts w:ascii="Times New Roman" w:hAnsi="Times New Roman" w:cs="Times New Roman"/>
                    <w:sz w:val="20"/>
                    <w:szCs w:val="20"/>
                  </w:rPr>
                </w:pPr>
                <w:r w:rsidRPr="002674AE">
                  <w:rPr>
                    <w:rFonts w:ascii="Times New Roman" w:eastAsia="Times New Roman" w:hAnsi="Times New Roman" w:cs="Times New Roman"/>
                    <w:sz w:val="20"/>
                    <w:szCs w:val="20"/>
                    <w:lang w:eastAsia="bg-BG"/>
                  </w:rPr>
                  <w:t>НИРД</w:t>
                </w:r>
              </w:p>
            </w:tc>
            <w:tc>
              <w:tcPr>
                <w:tcW w:w="5812" w:type="dxa"/>
              </w:tcPr>
              <w:p w:rsidR="005362DE" w:rsidRPr="002674AE" w:rsidRDefault="005362DE" w:rsidP="002674AE">
                <w:pPr>
                  <w:rPr>
                    <w:rFonts w:ascii="Times New Roman" w:hAnsi="Times New Roman" w:cs="Times New Roman"/>
                    <w:sz w:val="20"/>
                    <w:szCs w:val="20"/>
                  </w:rPr>
                </w:pPr>
                <w:r w:rsidRPr="002674AE">
                  <w:rPr>
                    <w:rFonts w:ascii="Times New Roman" w:hAnsi="Times New Roman" w:cs="Times New Roman"/>
                    <w:sz w:val="20"/>
                    <w:szCs w:val="20"/>
                  </w:rPr>
                  <w:t>Научноизследователска и развойна дейност</w:t>
                </w:r>
              </w:p>
            </w:tc>
          </w:tr>
          <w:tr w:rsidR="005362DE" w:rsidRPr="00D73CC1" w:rsidTr="002674AE">
            <w:trPr>
              <w:jc w:val="center"/>
            </w:trPr>
            <w:tc>
              <w:tcPr>
                <w:tcW w:w="1384" w:type="dxa"/>
              </w:tcPr>
              <w:p w:rsidR="005362DE" w:rsidRPr="002674AE" w:rsidRDefault="0039565C" w:rsidP="002674AE">
                <w:pP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НСИ</w:t>
                </w:r>
              </w:p>
            </w:tc>
            <w:tc>
              <w:tcPr>
                <w:tcW w:w="5812" w:type="dxa"/>
              </w:tcPr>
              <w:p w:rsidR="005362DE" w:rsidRPr="002674AE" w:rsidRDefault="0039565C" w:rsidP="002674AE">
                <w:pPr>
                  <w:rPr>
                    <w:rFonts w:ascii="Times New Roman" w:hAnsi="Times New Roman" w:cs="Times New Roman"/>
                    <w:sz w:val="20"/>
                    <w:szCs w:val="20"/>
                  </w:rPr>
                </w:pPr>
                <w:r>
                  <w:rPr>
                    <w:rFonts w:ascii="Times New Roman" w:hAnsi="Times New Roman" w:cs="Times New Roman"/>
                    <w:sz w:val="20"/>
                    <w:szCs w:val="20"/>
                  </w:rPr>
                  <w:t>Национален статистически институт</w:t>
                </w:r>
              </w:p>
            </w:tc>
          </w:tr>
          <w:tr w:rsidR="005362DE" w:rsidRPr="00D73CC1" w:rsidTr="002674AE">
            <w:trPr>
              <w:trHeight w:val="209"/>
              <w:jc w:val="center"/>
            </w:trPr>
            <w:tc>
              <w:tcPr>
                <w:tcW w:w="1384" w:type="dxa"/>
              </w:tcPr>
              <w:p w:rsidR="005362DE" w:rsidRPr="002674AE" w:rsidRDefault="0039565C" w:rsidP="002674AE">
                <w:pP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НСРР</w:t>
                </w:r>
              </w:p>
            </w:tc>
            <w:tc>
              <w:tcPr>
                <w:tcW w:w="5812" w:type="dxa"/>
              </w:tcPr>
              <w:p w:rsidR="005362DE" w:rsidRPr="002674AE" w:rsidRDefault="00F402EC" w:rsidP="002674AE">
                <w:pPr>
                  <w:rPr>
                    <w:rFonts w:ascii="Times New Roman" w:hAnsi="Times New Roman" w:cs="Times New Roman"/>
                    <w:sz w:val="20"/>
                    <w:szCs w:val="20"/>
                  </w:rPr>
                </w:pPr>
                <w:r>
                  <w:rPr>
                    <w:rFonts w:ascii="Times New Roman" w:hAnsi="Times New Roman" w:cs="Times New Roman"/>
                    <w:sz w:val="20"/>
                    <w:szCs w:val="20"/>
                  </w:rPr>
                  <w:t>Национална стратегия за регионално развитие</w:t>
                </w:r>
              </w:p>
            </w:tc>
          </w:tr>
          <w:tr w:rsidR="005362DE" w:rsidRPr="00D73CC1" w:rsidTr="002674AE">
            <w:trPr>
              <w:jc w:val="center"/>
            </w:trPr>
            <w:tc>
              <w:tcPr>
                <w:tcW w:w="1384" w:type="dxa"/>
              </w:tcPr>
              <w:p w:rsidR="005362DE" w:rsidRPr="002674AE" w:rsidRDefault="00FE625B" w:rsidP="002674AE">
                <w:pPr>
                  <w:rPr>
                    <w:rFonts w:ascii="Times New Roman" w:hAnsi="Times New Roman" w:cs="Times New Roman"/>
                    <w:sz w:val="20"/>
                    <w:szCs w:val="20"/>
                  </w:rPr>
                </w:pPr>
                <w:r>
                  <w:rPr>
                    <w:rFonts w:ascii="Times New Roman" w:hAnsi="Times New Roman" w:cs="Times New Roman"/>
                    <w:sz w:val="20"/>
                    <w:szCs w:val="20"/>
                  </w:rPr>
                  <w:t>ОП</w:t>
                </w:r>
              </w:p>
            </w:tc>
            <w:tc>
              <w:tcPr>
                <w:tcW w:w="5812" w:type="dxa"/>
              </w:tcPr>
              <w:p w:rsidR="005362DE" w:rsidRPr="002674AE" w:rsidRDefault="00FE625B" w:rsidP="002674AE">
                <w:pPr>
                  <w:rPr>
                    <w:rFonts w:ascii="Times New Roman" w:hAnsi="Times New Roman" w:cs="Times New Roman"/>
                    <w:sz w:val="20"/>
                    <w:szCs w:val="20"/>
                  </w:rPr>
                </w:pPr>
                <w:r w:rsidRPr="00FE625B">
                  <w:rPr>
                    <w:rFonts w:ascii="Times New Roman" w:hAnsi="Times New Roman" w:cs="Times New Roman"/>
                    <w:sz w:val="20"/>
                    <w:szCs w:val="20"/>
                  </w:rPr>
                  <w:t>Оперативна програма</w:t>
                </w:r>
              </w:p>
            </w:tc>
          </w:tr>
          <w:tr w:rsidR="005362DE" w:rsidRPr="00D73CC1" w:rsidTr="002674AE">
            <w:trPr>
              <w:jc w:val="center"/>
            </w:trPr>
            <w:tc>
              <w:tcPr>
                <w:tcW w:w="1384" w:type="dxa"/>
              </w:tcPr>
              <w:p w:rsidR="005362DE" w:rsidRPr="002674AE" w:rsidRDefault="005362DE" w:rsidP="002674AE">
                <w:pPr>
                  <w:rPr>
                    <w:rFonts w:ascii="Times New Roman" w:hAnsi="Times New Roman" w:cs="Times New Roman"/>
                    <w:sz w:val="20"/>
                    <w:szCs w:val="20"/>
                  </w:rPr>
                </w:pPr>
                <w:r w:rsidRPr="002674AE">
                  <w:rPr>
                    <w:rFonts w:ascii="Times New Roman" w:eastAsia="Times New Roman" w:hAnsi="Times New Roman" w:cs="Times New Roman"/>
                    <w:sz w:val="20"/>
                    <w:szCs w:val="20"/>
                    <w:lang w:eastAsia="bg-BG"/>
                  </w:rPr>
                  <w:t>ОПРКБИ</w:t>
                </w:r>
              </w:p>
            </w:tc>
            <w:tc>
              <w:tcPr>
                <w:tcW w:w="5812" w:type="dxa"/>
              </w:tcPr>
              <w:p w:rsidR="005362DE" w:rsidRPr="002674AE" w:rsidRDefault="005362DE" w:rsidP="002674AE">
                <w:pPr>
                  <w:rPr>
                    <w:rFonts w:ascii="Times New Roman" w:hAnsi="Times New Roman" w:cs="Times New Roman"/>
                    <w:sz w:val="20"/>
                    <w:szCs w:val="20"/>
                  </w:rPr>
                </w:pPr>
                <w:r w:rsidRPr="002674AE">
                  <w:rPr>
                    <w:rFonts w:ascii="Times New Roman" w:hAnsi="Times New Roman" w:cs="Times New Roman"/>
                    <w:sz w:val="20"/>
                    <w:szCs w:val="20"/>
                  </w:rPr>
                  <w:t>Оперативна програма "Развитие на конкурентоспособността на българската икономика"</w:t>
                </w:r>
              </w:p>
            </w:tc>
          </w:tr>
          <w:tr w:rsidR="005362DE" w:rsidRPr="00D73CC1" w:rsidTr="002674AE">
            <w:trPr>
              <w:jc w:val="center"/>
            </w:trPr>
            <w:tc>
              <w:tcPr>
                <w:tcW w:w="1384" w:type="dxa"/>
              </w:tcPr>
              <w:p w:rsidR="005362DE" w:rsidRPr="002674AE" w:rsidRDefault="005362DE" w:rsidP="002674AE">
                <w:pPr>
                  <w:rPr>
                    <w:rFonts w:ascii="Times New Roman" w:hAnsi="Times New Roman" w:cs="Times New Roman"/>
                    <w:sz w:val="20"/>
                    <w:szCs w:val="20"/>
                  </w:rPr>
                </w:pPr>
                <w:r w:rsidRPr="002674AE">
                  <w:rPr>
                    <w:rFonts w:ascii="Times New Roman" w:hAnsi="Times New Roman" w:cs="Times New Roman"/>
                    <w:sz w:val="20"/>
                    <w:szCs w:val="20"/>
                  </w:rPr>
                  <w:t>ОПРР</w:t>
                </w:r>
              </w:p>
            </w:tc>
            <w:tc>
              <w:tcPr>
                <w:tcW w:w="5812" w:type="dxa"/>
              </w:tcPr>
              <w:p w:rsidR="005362DE" w:rsidRPr="002674AE" w:rsidRDefault="005362DE" w:rsidP="002674AE">
                <w:pPr>
                  <w:rPr>
                    <w:rFonts w:ascii="Times New Roman" w:hAnsi="Times New Roman" w:cs="Times New Roman"/>
                    <w:sz w:val="20"/>
                    <w:szCs w:val="20"/>
                  </w:rPr>
                </w:pPr>
                <w:r w:rsidRPr="002674AE">
                  <w:rPr>
                    <w:rFonts w:ascii="Times New Roman" w:hAnsi="Times New Roman" w:cs="Times New Roman"/>
                    <w:sz w:val="20"/>
                    <w:szCs w:val="20"/>
                  </w:rPr>
                  <w:t>Оперативна програма "Региони в растеж"</w:t>
                </w:r>
              </w:p>
            </w:tc>
          </w:tr>
          <w:tr w:rsidR="005362DE" w:rsidRPr="00D73CC1" w:rsidTr="002674AE">
            <w:trPr>
              <w:jc w:val="center"/>
            </w:trPr>
            <w:tc>
              <w:tcPr>
                <w:tcW w:w="1384" w:type="dxa"/>
              </w:tcPr>
              <w:p w:rsidR="005362DE" w:rsidRPr="002674AE" w:rsidRDefault="005362DE" w:rsidP="002674AE">
                <w:pPr>
                  <w:rPr>
                    <w:rFonts w:ascii="Times New Roman" w:eastAsia="Times New Roman" w:hAnsi="Times New Roman" w:cs="Times New Roman"/>
                    <w:sz w:val="20"/>
                    <w:szCs w:val="20"/>
                    <w:lang w:eastAsia="bg-BG"/>
                  </w:rPr>
                </w:pPr>
                <w:r w:rsidRPr="002674AE">
                  <w:rPr>
                    <w:rFonts w:ascii="Times New Roman" w:eastAsia="Calibri" w:hAnsi="Times New Roman" w:cs="Times New Roman"/>
                    <w:sz w:val="20"/>
                    <w:szCs w:val="20"/>
                  </w:rPr>
                  <w:t>ОПРСР</w:t>
                </w:r>
              </w:p>
            </w:tc>
            <w:tc>
              <w:tcPr>
                <w:tcW w:w="5812" w:type="dxa"/>
              </w:tcPr>
              <w:p w:rsidR="005362DE" w:rsidRPr="002674AE" w:rsidRDefault="001B1496" w:rsidP="002674AE">
                <w:pPr>
                  <w:rPr>
                    <w:rFonts w:ascii="Times New Roman" w:hAnsi="Times New Roman" w:cs="Times New Roman"/>
                    <w:sz w:val="20"/>
                    <w:szCs w:val="20"/>
                  </w:rPr>
                </w:pPr>
                <w:hyperlink r:id="rId11" w:tgtFrame="_blank" w:history="1">
                  <w:r w:rsidR="005362DE" w:rsidRPr="002674AE">
                    <w:rPr>
                      <w:rStyle w:val="Hyperlink"/>
                      <w:rFonts w:ascii="Times New Roman" w:hAnsi="Times New Roman" w:cs="Times New Roman"/>
                      <w:color w:val="auto"/>
                      <w:sz w:val="20"/>
                      <w:szCs w:val="20"/>
                      <w:u w:val="none"/>
                      <w:shd w:val="clear" w:color="auto" w:fill="FFFFFF"/>
                    </w:rPr>
                    <w:t>Оперативна програма за развитие на сектор “Рибарство”</w:t>
                  </w:r>
                </w:hyperlink>
              </w:p>
            </w:tc>
          </w:tr>
          <w:tr w:rsidR="005362DE" w:rsidRPr="00D73CC1" w:rsidTr="002674AE">
            <w:trPr>
              <w:jc w:val="center"/>
            </w:trPr>
            <w:tc>
              <w:tcPr>
                <w:tcW w:w="1384" w:type="dxa"/>
              </w:tcPr>
              <w:p w:rsidR="005362DE" w:rsidRPr="002674AE" w:rsidRDefault="005362DE" w:rsidP="002674AE">
                <w:pPr>
                  <w:rPr>
                    <w:rFonts w:ascii="Times New Roman" w:hAnsi="Times New Roman" w:cs="Times New Roman"/>
                    <w:sz w:val="20"/>
                    <w:szCs w:val="20"/>
                  </w:rPr>
                </w:pPr>
                <w:r w:rsidRPr="002674AE">
                  <w:rPr>
                    <w:rFonts w:ascii="Times New Roman" w:eastAsia="Times New Roman" w:hAnsi="Times New Roman" w:cs="Times New Roman"/>
                    <w:sz w:val="20"/>
                    <w:szCs w:val="20"/>
                    <w:lang w:eastAsia="bg-BG"/>
                  </w:rPr>
                  <w:t>ОПРЧР</w:t>
                </w:r>
              </w:p>
            </w:tc>
            <w:tc>
              <w:tcPr>
                <w:tcW w:w="5812" w:type="dxa"/>
              </w:tcPr>
              <w:p w:rsidR="005362DE" w:rsidRPr="002674AE" w:rsidRDefault="005362DE" w:rsidP="002674AE">
                <w:pPr>
                  <w:rPr>
                    <w:rFonts w:ascii="Times New Roman" w:hAnsi="Times New Roman" w:cs="Times New Roman"/>
                    <w:sz w:val="20"/>
                    <w:szCs w:val="20"/>
                  </w:rPr>
                </w:pPr>
                <w:r w:rsidRPr="002674AE">
                  <w:rPr>
                    <w:rFonts w:ascii="Times New Roman" w:hAnsi="Times New Roman" w:cs="Times New Roman"/>
                    <w:sz w:val="20"/>
                    <w:szCs w:val="20"/>
                  </w:rPr>
                  <w:t>Оперативна програма "Развитие на човешките ресурси"</w:t>
                </w:r>
              </w:p>
            </w:tc>
          </w:tr>
          <w:tr w:rsidR="005362DE" w:rsidRPr="00D73CC1" w:rsidTr="002674AE">
            <w:trPr>
              <w:jc w:val="center"/>
            </w:trPr>
            <w:tc>
              <w:tcPr>
                <w:tcW w:w="1384" w:type="dxa"/>
              </w:tcPr>
              <w:p w:rsidR="005362DE" w:rsidRPr="002674AE" w:rsidRDefault="00C34DFE" w:rsidP="002674AE">
                <w:pPr>
                  <w:rPr>
                    <w:rFonts w:ascii="Times New Roman" w:hAnsi="Times New Roman" w:cs="Times New Roman"/>
                    <w:sz w:val="20"/>
                    <w:szCs w:val="20"/>
                  </w:rPr>
                </w:pPr>
                <w:r>
                  <w:rPr>
                    <w:rFonts w:ascii="Times New Roman" w:hAnsi="Times New Roman" w:cs="Times New Roman"/>
                    <w:sz w:val="20"/>
                    <w:szCs w:val="20"/>
                  </w:rPr>
                  <w:t>ПАВЕЦ</w:t>
                </w:r>
              </w:p>
            </w:tc>
            <w:tc>
              <w:tcPr>
                <w:tcW w:w="5812" w:type="dxa"/>
              </w:tcPr>
              <w:p w:rsidR="005362DE" w:rsidRPr="002674AE" w:rsidRDefault="00E13FFF" w:rsidP="002674AE">
                <w:pPr>
                  <w:rPr>
                    <w:rFonts w:ascii="Times New Roman" w:hAnsi="Times New Roman" w:cs="Times New Roman"/>
                    <w:sz w:val="20"/>
                    <w:szCs w:val="20"/>
                  </w:rPr>
                </w:pPr>
                <w:r w:rsidRPr="00E13FFF">
                  <w:rPr>
                    <w:rFonts w:ascii="Times New Roman" w:hAnsi="Times New Roman" w:cs="Times New Roman"/>
                    <w:sz w:val="20"/>
                    <w:szCs w:val="20"/>
                  </w:rPr>
                  <w:t>Помпено-акумулираща водноелектрическа централа</w:t>
                </w:r>
              </w:p>
            </w:tc>
          </w:tr>
          <w:tr w:rsidR="005362DE" w:rsidRPr="00D73CC1" w:rsidTr="002674AE">
            <w:trPr>
              <w:jc w:val="center"/>
            </w:trPr>
            <w:tc>
              <w:tcPr>
                <w:tcW w:w="1384" w:type="dxa"/>
              </w:tcPr>
              <w:p w:rsidR="005362DE" w:rsidRPr="002674AE" w:rsidRDefault="005362DE" w:rsidP="002674AE">
                <w:pPr>
                  <w:rPr>
                    <w:rFonts w:ascii="Times New Roman" w:hAnsi="Times New Roman" w:cs="Times New Roman"/>
                    <w:sz w:val="20"/>
                    <w:szCs w:val="20"/>
                  </w:rPr>
                </w:pPr>
                <w:r w:rsidRPr="002674AE">
                  <w:rPr>
                    <w:rFonts w:ascii="Times New Roman" w:eastAsia="Times New Roman" w:hAnsi="Times New Roman" w:cs="Times New Roman"/>
                    <w:sz w:val="20"/>
                    <w:szCs w:val="20"/>
                    <w:lang w:eastAsia="bg-BG"/>
                  </w:rPr>
                  <w:t>ПРСР</w:t>
                </w:r>
              </w:p>
            </w:tc>
            <w:tc>
              <w:tcPr>
                <w:tcW w:w="5812" w:type="dxa"/>
              </w:tcPr>
              <w:p w:rsidR="005362DE" w:rsidRPr="002674AE" w:rsidRDefault="001B1496" w:rsidP="002674AE">
                <w:pPr>
                  <w:rPr>
                    <w:rFonts w:ascii="Times New Roman" w:eastAsia="Times New Roman" w:hAnsi="Times New Roman" w:cs="Times New Roman"/>
                    <w:sz w:val="20"/>
                    <w:szCs w:val="20"/>
                  </w:rPr>
                </w:pPr>
                <w:hyperlink r:id="rId12" w:history="1">
                  <w:r w:rsidR="005362DE" w:rsidRPr="002674AE">
                    <w:rPr>
                      <w:rStyle w:val="Hyperlink"/>
                      <w:rFonts w:ascii="Times New Roman" w:hAnsi="Times New Roman" w:cs="Times New Roman"/>
                      <w:bCs/>
                      <w:color w:val="auto"/>
                      <w:sz w:val="20"/>
                      <w:szCs w:val="20"/>
                      <w:u w:val="none"/>
                    </w:rPr>
                    <w:t>Програма за развитие на селските райони</w:t>
                  </w:r>
                </w:hyperlink>
              </w:p>
            </w:tc>
          </w:tr>
          <w:tr w:rsidR="005362DE" w:rsidRPr="00D73CC1" w:rsidTr="002674AE">
            <w:trPr>
              <w:jc w:val="center"/>
            </w:trPr>
            <w:tc>
              <w:tcPr>
                <w:tcW w:w="1384" w:type="dxa"/>
              </w:tcPr>
              <w:p w:rsidR="005362DE" w:rsidRPr="007375A8" w:rsidRDefault="005362DE" w:rsidP="002674AE">
                <w:pPr>
                  <w:rPr>
                    <w:rFonts w:ascii="Times New Roman" w:hAnsi="Times New Roman" w:cs="Times New Roman"/>
                    <w:sz w:val="20"/>
                    <w:szCs w:val="20"/>
                  </w:rPr>
                </w:pPr>
                <w:r w:rsidRPr="007375A8">
                  <w:rPr>
                    <w:rFonts w:ascii="Times New Roman" w:eastAsia="Times New Roman" w:hAnsi="Times New Roman" w:cs="Times New Roman"/>
                    <w:sz w:val="20"/>
                    <w:szCs w:val="20"/>
                    <w:lang w:eastAsia="bg-BG"/>
                  </w:rPr>
                  <w:t>ПСОВ</w:t>
                </w:r>
              </w:p>
            </w:tc>
            <w:tc>
              <w:tcPr>
                <w:tcW w:w="5812" w:type="dxa"/>
              </w:tcPr>
              <w:p w:rsidR="005362DE" w:rsidRPr="002674AE" w:rsidRDefault="001B1496" w:rsidP="002674AE">
                <w:pPr>
                  <w:rPr>
                    <w:rFonts w:ascii="Times New Roman" w:eastAsia="Times New Roman" w:hAnsi="Times New Roman" w:cs="Times New Roman"/>
                    <w:sz w:val="20"/>
                    <w:szCs w:val="20"/>
                  </w:rPr>
                </w:pPr>
                <w:hyperlink r:id="rId13" w:history="1">
                  <w:r w:rsidR="005362DE" w:rsidRPr="002674AE">
                    <w:rPr>
                      <w:rStyle w:val="Hyperlink"/>
                      <w:rFonts w:ascii="Times New Roman" w:hAnsi="Times New Roman" w:cs="Times New Roman"/>
                      <w:bCs/>
                      <w:color w:val="auto"/>
                      <w:sz w:val="20"/>
                      <w:szCs w:val="20"/>
                      <w:u w:val="none"/>
                    </w:rPr>
                    <w:t>Пречиствателна станция за отпадни води</w:t>
                  </w:r>
                </w:hyperlink>
              </w:p>
            </w:tc>
          </w:tr>
          <w:tr w:rsidR="005362DE" w:rsidRPr="00D73CC1" w:rsidTr="002674AE">
            <w:trPr>
              <w:jc w:val="center"/>
            </w:trPr>
            <w:tc>
              <w:tcPr>
                <w:tcW w:w="1384" w:type="dxa"/>
              </w:tcPr>
              <w:p w:rsidR="005362DE" w:rsidRPr="002674AE" w:rsidRDefault="005362DE" w:rsidP="002674AE">
                <w:pPr>
                  <w:rPr>
                    <w:rFonts w:ascii="Times New Roman" w:hAnsi="Times New Roman" w:cs="Times New Roman"/>
                    <w:sz w:val="20"/>
                    <w:szCs w:val="20"/>
                  </w:rPr>
                </w:pPr>
                <w:r w:rsidRPr="002674AE">
                  <w:rPr>
                    <w:rFonts w:ascii="Times New Roman" w:eastAsia="Calibri" w:hAnsi="Times New Roman" w:cs="Times New Roman"/>
                    <w:sz w:val="20"/>
                    <w:szCs w:val="20"/>
                    <w:lang w:eastAsia="bg-BG"/>
                  </w:rPr>
                  <w:t>ПЧИ</w:t>
                </w:r>
              </w:p>
            </w:tc>
            <w:tc>
              <w:tcPr>
                <w:tcW w:w="5812" w:type="dxa"/>
              </w:tcPr>
              <w:p w:rsidR="005362DE" w:rsidRPr="002674AE" w:rsidRDefault="001B1496" w:rsidP="002674AE">
                <w:pPr>
                  <w:rPr>
                    <w:rFonts w:ascii="Times New Roman" w:eastAsia="Times New Roman" w:hAnsi="Times New Roman" w:cs="Times New Roman"/>
                    <w:sz w:val="20"/>
                    <w:szCs w:val="20"/>
                    <w:lang w:eastAsia="bg-BG"/>
                  </w:rPr>
                </w:pPr>
                <w:hyperlink r:id="rId14" w:history="1">
                  <w:r w:rsidR="005362DE" w:rsidRPr="002674AE">
                    <w:rPr>
                      <w:rFonts w:ascii="Times New Roman" w:eastAsia="Times New Roman" w:hAnsi="Times New Roman" w:cs="Times New Roman"/>
                      <w:sz w:val="20"/>
                      <w:szCs w:val="20"/>
                      <w:lang w:eastAsia="bg-BG"/>
                    </w:rPr>
                    <w:t>Преки чуждестранни инвестиции</w:t>
                  </w:r>
                </w:hyperlink>
              </w:p>
            </w:tc>
          </w:tr>
          <w:tr w:rsidR="005362DE" w:rsidRPr="00D73CC1" w:rsidTr="002674AE">
            <w:trPr>
              <w:jc w:val="center"/>
            </w:trPr>
            <w:tc>
              <w:tcPr>
                <w:tcW w:w="1384" w:type="dxa"/>
              </w:tcPr>
              <w:p w:rsidR="005362DE" w:rsidRPr="002674AE" w:rsidRDefault="00590780" w:rsidP="002674AE">
                <w:pP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ПУДООС</w:t>
                </w:r>
              </w:p>
            </w:tc>
            <w:tc>
              <w:tcPr>
                <w:tcW w:w="5812" w:type="dxa"/>
              </w:tcPr>
              <w:p w:rsidR="005362DE" w:rsidRPr="002674AE" w:rsidRDefault="000F135B" w:rsidP="002674AE">
                <w:pPr>
                  <w:rPr>
                    <w:rFonts w:ascii="Times New Roman" w:eastAsia="Times New Roman" w:hAnsi="Times New Roman" w:cs="Times New Roman"/>
                    <w:sz w:val="20"/>
                    <w:szCs w:val="20"/>
                  </w:rPr>
                </w:pPr>
                <w:r w:rsidRPr="000F135B">
                  <w:rPr>
                    <w:rFonts w:ascii="Times New Roman" w:eastAsia="Times New Roman" w:hAnsi="Times New Roman" w:cs="Times New Roman"/>
                    <w:sz w:val="20"/>
                    <w:szCs w:val="20"/>
                  </w:rPr>
                  <w:t>Предприятие за управление на дейностите по опазване на околната среда</w:t>
                </w:r>
              </w:p>
            </w:tc>
          </w:tr>
          <w:tr w:rsidR="005362DE" w:rsidRPr="00D73CC1" w:rsidTr="002674AE">
            <w:trPr>
              <w:jc w:val="center"/>
            </w:trPr>
            <w:tc>
              <w:tcPr>
                <w:tcW w:w="1384" w:type="dxa"/>
              </w:tcPr>
              <w:p w:rsidR="005362DE" w:rsidRPr="002674AE" w:rsidRDefault="00EC5AF3" w:rsidP="002674AE">
                <w:pP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РПМ</w:t>
                </w:r>
              </w:p>
            </w:tc>
            <w:tc>
              <w:tcPr>
                <w:tcW w:w="5812" w:type="dxa"/>
              </w:tcPr>
              <w:p w:rsidR="005362DE" w:rsidRPr="002674AE" w:rsidRDefault="00F06CA6" w:rsidP="002674AE">
                <w:pPr>
                  <w:rPr>
                    <w:rFonts w:ascii="Times New Roman" w:hAnsi="Times New Roman" w:cs="Times New Roman"/>
                    <w:sz w:val="20"/>
                    <w:szCs w:val="20"/>
                  </w:rPr>
                </w:pPr>
                <w:r w:rsidRPr="00F06CA6">
                  <w:rPr>
                    <w:rFonts w:ascii="Times New Roman" w:hAnsi="Times New Roman" w:cs="Times New Roman"/>
                    <w:sz w:val="20"/>
                    <w:szCs w:val="20"/>
                  </w:rPr>
                  <w:t>Републиканска пътна мрежа</w:t>
                </w:r>
              </w:p>
            </w:tc>
          </w:tr>
          <w:tr w:rsidR="005362DE" w:rsidRPr="00D73CC1" w:rsidTr="002674AE">
            <w:trPr>
              <w:jc w:val="center"/>
            </w:trPr>
            <w:tc>
              <w:tcPr>
                <w:tcW w:w="1384" w:type="dxa"/>
              </w:tcPr>
              <w:p w:rsidR="005362DE" w:rsidRPr="002674AE" w:rsidRDefault="006163F9" w:rsidP="002674AE">
                <w:pP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РПР</w:t>
                </w:r>
              </w:p>
            </w:tc>
            <w:tc>
              <w:tcPr>
                <w:tcW w:w="5812" w:type="dxa"/>
              </w:tcPr>
              <w:p w:rsidR="005362DE" w:rsidRPr="002674AE" w:rsidRDefault="006163F9" w:rsidP="002674AE">
                <w:pPr>
                  <w:rPr>
                    <w:rFonts w:ascii="Times New Roman" w:hAnsi="Times New Roman" w:cs="Times New Roman"/>
                    <w:sz w:val="20"/>
                    <w:szCs w:val="20"/>
                  </w:rPr>
                </w:pPr>
                <w:r>
                  <w:rPr>
                    <w:rFonts w:ascii="Times New Roman" w:hAnsi="Times New Roman" w:cs="Times New Roman"/>
                    <w:sz w:val="20"/>
                    <w:szCs w:val="20"/>
                  </w:rPr>
                  <w:t>Регионален план за развитие</w:t>
                </w:r>
              </w:p>
            </w:tc>
          </w:tr>
          <w:tr w:rsidR="0090102C" w:rsidRPr="00D73CC1" w:rsidTr="002674AE">
            <w:trPr>
              <w:jc w:val="center"/>
            </w:trPr>
            <w:tc>
              <w:tcPr>
                <w:tcW w:w="1384" w:type="dxa"/>
              </w:tcPr>
              <w:p w:rsidR="0090102C" w:rsidRDefault="0090102C" w:rsidP="002674AE">
                <w:pP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СОП</w:t>
                </w:r>
              </w:p>
            </w:tc>
            <w:tc>
              <w:tcPr>
                <w:tcW w:w="5812" w:type="dxa"/>
              </w:tcPr>
              <w:p w:rsidR="0090102C" w:rsidRDefault="00831F65" w:rsidP="002674AE">
                <w:pPr>
                  <w:rPr>
                    <w:rFonts w:ascii="Times New Roman" w:hAnsi="Times New Roman" w:cs="Times New Roman"/>
                    <w:sz w:val="20"/>
                    <w:szCs w:val="20"/>
                  </w:rPr>
                </w:pPr>
                <w:r>
                  <w:rPr>
                    <w:rFonts w:ascii="Times New Roman" w:hAnsi="Times New Roman" w:cs="Times New Roman"/>
                    <w:sz w:val="20"/>
                    <w:szCs w:val="20"/>
                  </w:rPr>
                  <w:t>Съвместна оперативна програма</w:t>
                </w:r>
              </w:p>
            </w:tc>
          </w:tr>
          <w:tr w:rsidR="0090102C" w:rsidRPr="00D73CC1" w:rsidTr="002674AE">
            <w:trPr>
              <w:jc w:val="center"/>
            </w:trPr>
            <w:tc>
              <w:tcPr>
                <w:tcW w:w="1384" w:type="dxa"/>
              </w:tcPr>
              <w:p w:rsidR="0090102C" w:rsidRDefault="007165FE" w:rsidP="002674AE">
                <w:pP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СЗР</w:t>
                </w:r>
              </w:p>
            </w:tc>
            <w:tc>
              <w:tcPr>
                <w:tcW w:w="5812" w:type="dxa"/>
              </w:tcPr>
              <w:p w:rsidR="0090102C" w:rsidRDefault="006D6880" w:rsidP="002674AE">
                <w:pPr>
                  <w:rPr>
                    <w:rFonts w:ascii="Times New Roman" w:hAnsi="Times New Roman" w:cs="Times New Roman"/>
                    <w:sz w:val="20"/>
                    <w:szCs w:val="20"/>
                  </w:rPr>
                </w:pPr>
                <w:r>
                  <w:rPr>
                    <w:rFonts w:ascii="Times New Roman" w:hAnsi="Times New Roman" w:cs="Times New Roman"/>
                    <w:sz w:val="20"/>
                    <w:szCs w:val="20"/>
                  </w:rPr>
                  <w:t>Северозападен район</w:t>
                </w:r>
              </w:p>
            </w:tc>
          </w:tr>
          <w:tr w:rsidR="0090102C" w:rsidRPr="00D73CC1" w:rsidTr="002674AE">
            <w:trPr>
              <w:jc w:val="center"/>
            </w:trPr>
            <w:tc>
              <w:tcPr>
                <w:tcW w:w="1384" w:type="dxa"/>
              </w:tcPr>
              <w:p w:rsidR="0090102C" w:rsidRDefault="007165FE" w:rsidP="002674AE">
                <w:pP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СИР</w:t>
                </w:r>
              </w:p>
            </w:tc>
            <w:tc>
              <w:tcPr>
                <w:tcW w:w="5812" w:type="dxa"/>
              </w:tcPr>
              <w:p w:rsidR="0090102C" w:rsidRDefault="006D6880" w:rsidP="002674AE">
                <w:pPr>
                  <w:rPr>
                    <w:rFonts w:ascii="Times New Roman" w:hAnsi="Times New Roman" w:cs="Times New Roman"/>
                    <w:sz w:val="20"/>
                    <w:szCs w:val="20"/>
                  </w:rPr>
                </w:pPr>
                <w:r>
                  <w:rPr>
                    <w:rFonts w:ascii="Times New Roman" w:hAnsi="Times New Roman" w:cs="Times New Roman"/>
                    <w:sz w:val="20"/>
                    <w:szCs w:val="20"/>
                  </w:rPr>
                  <w:t>Североизточен район</w:t>
                </w:r>
              </w:p>
            </w:tc>
          </w:tr>
          <w:tr w:rsidR="0090102C" w:rsidRPr="00D73CC1" w:rsidTr="002674AE">
            <w:trPr>
              <w:jc w:val="center"/>
            </w:trPr>
            <w:tc>
              <w:tcPr>
                <w:tcW w:w="1384" w:type="dxa"/>
              </w:tcPr>
              <w:p w:rsidR="0090102C" w:rsidRDefault="007165FE" w:rsidP="002674AE">
                <w:pP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СЦР</w:t>
                </w:r>
              </w:p>
            </w:tc>
            <w:tc>
              <w:tcPr>
                <w:tcW w:w="5812" w:type="dxa"/>
              </w:tcPr>
              <w:p w:rsidR="0090102C" w:rsidRDefault="006D6880" w:rsidP="002674AE">
                <w:pPr>
                  <w:rPr>
                    <w:rFonts w:ascii="Times New Roman" w:hAnsi="Times New Roman" w:cs="Times New Roman"/>
                    <w:sz w:val="20"/>
                    <w:szCs w:val="20"/>
                  </w:rPr>
                </w:pPr>
                <w:r>
                  <w:rPr>
                    <w:rFonts w:ascii="Times New Roman" w:hAnsi="Times New Roman" w:cs="Times New Roman"/>
                    <w:sz w:val="20"/>
                    <w:szCs w:val="20"/>
                  </w:rPr>
                  <w:t>Северен централен район</w:t>
                </w:r>
              </w:p>
            </w:tc>
          </w:tr>
          <w:tr w:rsidR="0090102C" w:rsidRPr="00D73CC1" w:rsidTr="002674AE">
            <w:trPr>
              <w:jc w:val="center"/>
            </w:trPr>
            <w:tc>
              <w:tcPr>
                <w:tcW w:w="1384" w:type="dxa"/>
              </w:tcPr>
              <w:p w:rsidR="0090102C" w:rsidRDefault="00292C45" w:rsidP="002674AE">
                <w:pP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ТГС</w:t>
                </w:r>
              </w:p>
            </w:tc>
            <w:tc>
              <w:tcPr>
                <w:tcW w:w="5812" w:type="dxa"/>
              </w:tcPr>
              <w:p w:rsidR="0090102C" w:rsidRDefault="007B1356" w:rsidP="002674AE">
                <w:pPr>
                  <w:rPr>
                    <w:rFonts w:ascii="Times New Roman" w:hAnsi="Times New Roman" w:cs="Times New Roman"/>
                    <w:sz w:val="20"/>
                    <w:szCs w:val="20"/>
                  </w:rPr>
                </w:pPr>
                <w:r>
                  <w:rPr>
                    <w:rFonts w:ascii="Times New Roman" w:hAnsi="Times New Roman" w:cs="Times New Roman"/>
                    <w:sz w:val="20"/>
                    <w:szCs w:val="20"/>
                  </w:rPr>
                  <w:t>Т</w:t>
                </w:r>
                <w:r w:rsidRPr="007B1356">
                  <w:rPr>
                    <w:rFonts w:ascii="Times New Roman" w:hAnsi="Times New Roman" w:cs="Times New Roman"/>
                    <w:sz w:val="20"/>
                    <w:szCs w:val="20"/>
                  </w:rPr>
                  <w:t>рансгранично сътрудничество</w:t>
                </w:r>
              </w:p>
            </w:tc>
          </w:tr>
          <w:tr w:rsidR="0090102C" w:rsidRPr="00D73CC1" w:rsidTr="002674AE">
            <w:trPr>
              <w:jc w:val="center"/>
            </w:trPr>
            <w:tc>
              <w:tcPr>
                <w:tcW w:w="1384" w:type="dxa"/>
              </w:tcPr>
              <w:p w:rsidR="0090102C" w:rsidRDefault="00292C45" w:rsidP="002674AE">
                <w:pP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ЮЗР</w:t>
                </w:r>
              </w:p>
            </w:tc>
            <w:tc>
              <w:tcPr>
                <w:tcW w:w="5812" w:type="dxa"/>
              </w:tcPr>
              <w:p w:rsidR="0090102C" w:rsidRDefault="00254A2B" w:rsidP="002674AE">
                <w:pPr>
                  <w:rPr>
                    <w:rFonts w:ascii="Times New Roman" w:hAnsi="Times New Roman" w:cs="Times New Roman"/>
                    <w:sz w:val="20"/>
                    <w:szCs w:val="20"/>
                  </w:rPr>
                </w:pPr>
                <w:r>
                  <w:rPr>
                    <w:rFonts w:ascii="Times New Roman" w:hAnsi="Times New Roman" w:cs="Times New Roman"/>
                    <w:sz w:val="20"/>
                    <w:szCs w:val="20"/>
                  </w:rPr>
                  <w:t>Югозападен район</w:t>
                </w:r>
              </w:p>
            </w:tc>
          </w:tr>
          <w:tr w:rsidR="0090102C" w:rsidRPr="00D73CC1" w:rsidTr="002674AE">
            <w:trPr>
              <w:jc w:val="center"/>
            </w:trPr>
            <w:tc>
              <w:tcPr>
                <w:tcW w:w="1384" w:type="dxa"/>
              </w:tcPr>
              <w:p w:rsidR="0090102C" w:rsidRDefault="00292C45" w:rsidP="002674AE">
                <w:pP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ЮИР</w:t>
                </w:r>
              </w:p>
            </w:tc>
            <w:tc>
              <w:tcPr>
                <w:tcW w:w="5812" w:type="dxa"/>
              </w:tcPr>
              <w:p w:rsidR="0090102C" w:rsidRDefault="00254A2B" w:rsidP="002674AE">
                <w:pPr>
                  <w:rPr>
                    <w:rFonts w:ascii="Times New Roman" w:hAnsi="Times New Roman" w:cs="Times New Roman"/>
                    <w:sz w:val="20"/>
                    <w:szCs w:val="20"/>
                  </w:rPr>
                </w:pPr>
                <w:r>
                  <w:rPr>
                    <w:rFonts w:ascii="Times New Roman" w:hAnsi="Times New Roman" w:cs="Times New Roman"/>
                    <w:sz w:val="20"/>
                    <w:szCs w:val="20"/>
                  </w:rPr>
                  <w:t>Югоизточен район</w:t>
                </w:r>
              </w:p>
            </w:tc>
          </w:tr>
          <w:tr w:rsidR="0090102C" w:rsidRPr="00D73CC1" w:rsidTr="002674AE">
            <w:trPr>
              <w:jc w:val="center"/>
            </w:trPr>
            <w:tc>
              <w:tcPr>
                <w:tcW w:w="1384" w:type="dxa"/>
              </w:tcPr>
              <w:p w:rsidR="0090102C" w:rsidRDefault="00292C45" w:rsidP="002674AE">
                <w:pP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ЮЦР</w:t>
                </w:r>
              </w:p>
            </w:tc>
            <w:tc>
              <w:tcPr>
                <w:tcW w:w="5812" w:type="dxa"/>
              </w:tcPr>
              <w:p w:rsidR="0090102C" w:rsidRDefault="00254A2B" w:rsidP="002674AE">
                <w:pPr>
                  <w:rPr>
                    <w:rFonts w:ascii="Times New Roman" w:hAnsi="Times New Roman" w:cs="Times New Roman"/>
                    <w:sz w:val="20"/>
                    <w:szCs w:val="20"/>
                  </w:rPr>
                </w:pPr>
                <w:r>
                  <w:rPr>
                    <w:rFonts w:ascii="Times New Roman" w:hAnsi="Times New Roman" w:cs="Times New Roman"/>
                    <w:sz w:val="20"/>
                    <w:szCs w:val="20"/>
                  </w:rPr>
                  <w:t>Южен централен район</w:t>
                </w:r>
              </w:p>
            </w:tc>
          </w:tr>
        </w:tbl>
        <w:p w:rsidR="008E65F2" w:rsidRDefault="008E65F2">
          <w:pPr>
            <w:rPr>
              <w:rFonts w:ascii="Times New Roman" w:eastAsiaTheme="minorEastAsia" w:hAnsi="Times New Roman" w:cs="Times New Roman"/>
              <w:b/>
              <w:sz w:val="28"/>
              <w:szCs w:val="28"/>
            </w:rPr>
          </w:pPr>
        </w:p>
        <w:p w:rsidR="001C2177" w:rsidRDefault="001C2177">
          <w:pPr>
            <w:rPr>
              <w:rFonts w:ascii="Times New Roman" w:eastAsiaTheme="minorEastAsia" w:hAnsi="Times New Roman" w:cs="Times New Roman"/>
              <w:b/>
              <w:color w:val="2E74B5" w:themeColor="accent1" w:themeShade="BF"/>
              <w:sz w:val="24"/>
              <w:szCs w:val="24"/>
            </w:rPr>
          </w:pPr>
          <w:r>
            <w:rPr>
              <w:rFonts w:ascii="Times New Roman" w:eastAsiaTheme="minorEastAsia" w:hAnsi="Times New Roman" w:cs="Times New Roman"/>
              <w:b/>
              <w:color w:val="2E74B5" w:themeColor="accent1" w:themeShade="BF"/>
              <w:sz w:val="24"/>
              <w:szCs w:val="24"/>
            </w:rPr>
            <w:br w:type="page"/>
          </w:r>
        </w:p>
        <w:p w:rsidR="003D6983" w:rsidRPr="0042557A" w:rsidRDefault="00B93F78" w:rsidP="001C2177">
          <w:pPr>
            <w:pStyle w:val="Heading1"/>
            <w:rPr>
              <w:rFonts w:eastAsiaTheme="minorEastAsia"/>
            </w:rPr>
          </w:pPr>
          <w:bookmarkStart w:id="1" w:name="_Toc478043742"/>
          <w:r w:rsidRPr="0042557A">
            <w:rPr>
              <w:rFonts w:eastAsiaTheme="minorEastAsia"/>
            </w:rPr>
            <w:lastRenderedPageBreak/>
            <w:t>ВЪВЕДЕНИЕ</w:t>
          </w:r>
          <w:bookmarkEnd w:id="1"/>
        </w:p>
        <w:p w:rsidR="001C2177" w:rsidRDefault="001C2177" w:rsidP="00B77D65">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highlight w:val="white"/>
              <w:shd w:val="clear" w:color="auto" w:fill="FEFEFE"/>
            </w:rPr>
          </w:pPr>
        </w:p>
        <w:p w:rsidR="00FE121C" w:rsidRPr="00FE121C" w:rsidRDefault="00FE121C" w:rsidP="00FE121C">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highlight w:val="white"/>
              <w:shd w:val="clear" w:color="auto" w:fill="FEFEFE"/>
            </w:rPr>
          </w:pPr>
          <w:r w:rsidRPr="00FE121C">
            <w:rPr>
              <w:rFonts w:ascii="Times New Roman" w:eastAsia="Times New Roman" w:hAnsi="Times New Roman" w:cs="Times New Roman"/>
              <w:sz w:val="24"/>
              <w:szCs w:val="24"/>
              <w:highlight w:val="white"/>
              <w:shd w:val="clear" w:color="auto" w:fill="FEFEFE"/>
            </w:rPr>
            <w:t xml:space="preserve">Националната стратегия за регионално развитие (НСРР) </w:t>
          </w:r>
          <w:r w:rsidRPr="00FE121C">
            <w:rPr>
              <w:rFonts w:ascii="Times New Roman" w:eastAsia="Times New Roman" w:hAnsi="Times New Roman" w:cs="Times New Roman"/>
              <w:sz w:val="24"/>
              <w:szCs w:val="24"/>
              <w:highlight w:val="white"/>
              <w:shd w:val="clear" w:color="auto" w:fill="FEFEFE"/>
              <w:lang w:val="en-US"/>
            </w:rPr>
            <w:t xml:space="preserve">e </w:t>
          </w:r>
          <w:r w:rsidRPr="00FE121C">
            <w:rPr>
              <w:rFonts w:ascii="Times New Roman" w:eastAsia="Times New Roman" w:hAnsi="Times New Roman" w:cs="Times New Roman"/>
              <w:sz w:val="24"/>
              <w:szCs w:val="24"/>
              <w:highlight w:val="white"/>
              <w:shd w:val="clear" w:color="auto" w:fill="FEFEFE"/>
            </w:rPr>
            <w:t>основен документ, определящ дългосрочните цели и приоритети на политиката за регионално развитие. Съгласно разпоредбите на Закона за регионалното развитие (ЗРР)  не по-късно от една година след изтичане срока на действие на НСРР 2005-2015 г. е необходимо да се направи последваща оценка за изпълнението й. Такава оценка е направена през 2016 г. от независим консултант „Географика ООД“ на базата на процедура за възлагане на обществена поръчка, в съответствие с  чл. 36 на ЗРР.</w:t>
          </w:r>
        </w:p>
        <w:p w:rsidR="00FE121C" w:rsidRPr="00FE121C" w:rsidRDefault="00FE121C" w:rsidP="00FE121C">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highlight w:val="white"/>
              <w:shd w:val="clear" w:color="auto" w:fill="FEFEFE"/>
            </w:rPr>
          </w:pPr>
          <w:r w:rsidRPr="00FE121C">
            <w:rPr>
              <w:rFonts w:ascii="Times New Roman" w:eastAsia="Times New Roman" w:hAnsi="Times New Roman" w:cs="Times New Roman"/>
              <w:sz w:val="24"/>
              <w:szCs w:val="24"/>
              <w:highlight w:val="white"/>
              <w:shd w:val="clear" w:color="auto" w:fill="FEFEFE"/>
            </w:rPr>
            <w:t>Целта на окончателния доклад за изпълнението на Националната стратегия за регионално развитие е да осигури информация и публичност за резултатите от извършената последваща оценка  относно  степента на постигане на стратегическите цели на НСРР и на устойчивостта на резултатите,  общото въздействие върху процесите на развитие на районите и настъпилите промени относно междурегионалните и вътрешнорегионалните различия, ефективността и ефикасността на използваните финансови инструменти в периода на действие на стратегията, подкрепящи регионалното развитие. Изводите и препоръките, направени на основа на анализа и напредъка по изпълнението, констатирани в последващата оценка, са важна отправна точка за подобряване и повишаване ефективността  и въздействието на политиката за регионално развитие.</w:t>
          </w:r>
        </w:p>
        <w:p w:rsidR="00FE121C" w:rsidRPr="00FE121C" w:rsidRDefault="00FE121C" w:rsidP="00FE121C">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highlight w:val="white"/>
              <w:shd w:val="clear" w:color="auto" w:fill="FEFEFE"/>
            </w:rPr>
          </w:pPr>
          <w:r w:rsidRPr="00FE121C">
            <w:rPr>
              <w:rFonts w:ascii="Times New Roman" w:eastAsia="Times New Roman" w:hAnsi="Times New Roman" w:cs="Times New Roman"/>
              <w:sz w:val="24"/>
              <w:szCs w:val="24"/>
              <w:highlight w:val="white"/>
              <w:shd w:val="clear" w:color="auto" w:fill="FEFEFE"/>
            </w:rPr>
            <w:t>Окончателният доклад за изпълнението на Националната стратегия за регионално развитие 2005-2015 г. е изготвен на основа на резултатите от последващата оценка и дава насоки за необходимите промени в политиката за регионално развитие, за промените в стратегическата й ориентация, за новите акценти и проблеми, към които следва да се насочат прилаганите към момента финансови инструменти за насърчаване на регионалното развитие. В процеса на подготовка на окончателния доклад са отчетени и резултатите от последващата оценка за изпълнението на регионалните планове за развитие с оглед отчитане на актуалните специфични проблеми и предизвикателства пред районите от ниво 2.</w:t>
          </w:r>
        </w:p>
        <w:p w:rsidR="00FE121C" w:rsidRPr="00FE121C" w:rsidRDefault="00FE121C" w:rsidP="00FE121C">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highlight w:val="white"/>
              <w:shd w:val="clear" w:color="auto" w:fill="FEFEFE"/>
            </w:rPr>
          </w:pPr>
          <w:r w:rsidRPr="00FE121C">
            <w:rPr>
              <w:rFonts w:ascii="Times New Roman" w:eastAsia="Times New Roman" w:hAnsi="Times New Roman" w:cs="Times New Roman"/>
              <w:sz w:val="24"/>
              <w:szCs w:val="24"/>
              <w:highlight w:val="white"/>
              <w:shd w:val="clear" w:color="auto" w:fill="FEFEFE"/>
            </w:rPr>
            <w:t xml:space="preserve">НСРР 2005-2015 г., която е обект на направената последваща оценка, е приета от правителството през 2005 г. и е изиграла решаваща роля за насочване на националната политика за регионално развитие през периода 2005–2015 г., който включва предприсъединителния период 2005–2006г. и първия програмен период 2007– 2013г. НСРР е дала отправна насока и рамка за разработването на оперативната програма за регионално развитие (ОПРР 2007-2013), на документите за регионално развитие на </w:t>
          </w:r>
          <w:r w:rsidRPr="00FE121C">
            <w:rPr>
              <w:rFonts w:ascii="Times New Roman" w:eastAsia="Times New Roman" w:hAnsi="Times New Roman" w:cs="Times New Roman"/>
              <w:sz w:val="24"/>
              <w:szCs w:val="24"/>
              <w:highlight w:val="white"/>
              <w:shd w:val="clear" w:color="auto" w:fill="FEFEFE"/>
            </w:rPr>
            <w:lastRenderedPageBreak/>
            <w:t>регионално, областно и общинско ниво</w:t>
          </w:r>
          <w:r w:rsidRPr="00FE121C">
            <w:rPr>
              <w:rFonts w:ascii="Times New Roman" w:eastAsia="Times New Roman" w:hAnsi="Times New Roman" w:cs="Times New Roman"/>
              <w:sz w:val="24"/>
              <w:szCs w:val="24"/>
              <w:highlight w:val="white"/>
              <w:shd w:val="clear" w:color="auto" w:fill="FEFEFE"/>
              <w:vertAlign w:val="superscript"/>
            </w:rPr>
            <w:footnoteReference w:id="1"/>
          </w:r>
          <w:r w:rsidRPr="00FE121C">
            <w:rPr>
              <w:rFonts w:ascii="Times New Roman" w:eastAsia="Times New Roman" w:hAnsi="Times New Roman" w:cs="Times New Roman"/>
              <w:sz w:val="24"/>
              <w:szCs w:val="24"/>
              <w:highlight w:val="white"/>
              <w:shd w:val="clear" w:color="auto" w:fill="FEFEFE"/>
            </w:rPr>
            <w:t>, а също и на документите, подготвени във връзка с прилагането на политиката за сближаване в България за програмен период 2007 –</w:t>
          </w:r>
          <w:r w:rsidRPr="00FE121C">
            <w:rPr>
              <w:rFonts w:ascii="Times New Roman" w:eastAsia="Times New Roman" w:hAnsi="Times New Roman" w:cs="Times New Roman"/>
              <w:sz w:val="24"/>
              <w:szCs w:val="24"/>
              <w:highlight w:val="white"/>
              <w:shd w:val="clear" w:color="auto" w:fill="FEFEFE"/>
              <w:lang w:val="ru-RU"/>
            </w:rPr>
            <w:t xml:space="preserve"> </w:t>
          </w:r>
          <w:r w:rsidRPr="00FE121C">
            <w:rPr>
              <w:rFonts w:ascii="Times New Roman" w:eastAsia="Times New Roman" w:hAnsi="Times New Roman" w:cs="Times New Roman"/>
              <w:sz w:val="24"/>
              <w:szCs w:val="24"/>
              <w:highlight w:val="white"/>
              <w:shd w:val="clear" w:color="auto" w:fill="FEFEFE"/>
            </w:rPr>
            <w:t xml:space="preserve">2013 г. </w:t>
          </w:r>
        </w:p>
        <w:p w:rsidR="00FE121C" w:rsidRPr="00FE121C" w:rsidRDefault="00FE121C" w:rsidP="00FE121C">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highlight w:val="white"/>
              <w:shd w:val="clear" w:color="auto" w:fill="FEFEFE"/>
            </w:rPr>
          </w:pPr>
          <w:r w:rsidRPr="00FE121C">
            <w:rPr>
              <w:rFonts w:ascii="Times New Roman" w:eastAsia="Times New Roman" w:hAnsi="Times New Roman" w:cs="Times New Roman"/>
              <w:sz w:val="24"/>
              <w:szCs w:val="24"/>
              <w:highlight w:val="white"/>
              <w:shd w:val="clear" w:color="auto" w:fill="FEFEFE"/>
            </w:rPr>
            <w:t xml:space="preserve">В процеса на прилагане на НСРР настъпват сериозни промени. От началото на 2007 г., страната ни е приета за член на Европейския съюз </w:t>
          </w:r>
          <w:r w:rsidRPr="00FE121C">
            <w:rPr>
              <w:rFonts w:ascii="Times New Roman" w:eastAsia="Times New Roman" w:hAnsi="Times New Roman" w:cs="Times New Roman"/>
              <w:sz w:val="24"/>
              <w:szCs w:val="24"/>
              <w:highlight w:val="white"/>
              <w:shd w:val="clear" w:color="auto" w:fill="FEFEFE"/>
              <w:lang w:val="ru-RU"/>
            </w:rPr>
            <w:t>(</w:t>
          </w:r>
          <w:r w:rsidRPr="00FE121C">
            <w:rPr>
              <w:rFonts w:ascii="Times New Roman" w:eastAsia="Times New Roman" w:hAnsi="Times New Roman" w:cs="Times New Roman"/>
              <w:sz w:val="24"/>
              <w:szCs w:val="24"/>
              <w:highlight w:val="white"/>
              <w:shd w:val="clear" w:color="auto" w:fill="FEFEFE"/>
            </w:rPr>
            <w:t>ЕС</w:t>
          </w:r>
          <w:r w:rsidRPr="00FE121C">
            <w:rPr>
              <w:rFonts w:ascii="Times New Roman" w:eastAsia="Times New Roman" w:hAnsi="Times New Roman" w:cs="Times New Roman"/>
              <w:sz w:val="24"/>
              <w:szCs w:val="24"/>
              <w:highlight w:val="white"/>
              <w:shd w:val="clear" w:color="auto" w:fill="FEFEFE"/>
              <w:lang w:val="ru-RU"/>
            </w:rPr>
            <w:t>)</w:t>
          </w:r>
          <w:r w:rsidRPr="00FE121C">
            <w:rPr>
              <w:rFonts w:ascii="Times New Roman" w:eastAsia="Times New Roman" w:hAnsi="Times New Roman" w:cs="Times New Roman"/>
              <w:sz w:val="24"/>
              <w:szCs w:val="24"/>
              <w:highlight w:val="white"/>
              <w:shd w:val="clear" w:color="auto" w:fill="FEFEFE"/>
            </w:rPr>
            <w:t>. Във връзка с промените в европейската политика за сближаване и пълноправното членство на Република</w:t>
          </w:r>
          <w:r w:rsidRPr="00FE121C">
            <w:rPr>
              <w:rFonts w:ascii="Times New Roman" w:eastAsia="Times New Roman" w:hAnsi="Times New Roman" w:cs="Times New Roman"/>
              <w:sz w:val="24"/>
              <w:szCs w:val="24"/>
              <w:highlight w:val="white"/>
              <w:shd w:val="clear" w:color="auto" w:fill="FEFEFE"/>
              <w:lang w:val="ru-RU"/>
            </w:rPr>
            <w:t xml:space="preserve"> </w:t>
          </w:r>
          <w:r w:rsidRPr="00FE121C">
            <w:rPr>
              <w:rFonts w:ascii="Times New Roman" w:eastAsia="Times New Roman" w:hAnsi="Times New Roman" w:cs="Times New Roman"/>
              <w:sz w:val="24"/>
              <w:szCs w:val="24"/>
              <w:highlight w:val="white"/>
              <w:shd w:val="clear" w:color="auto" w:fill="FEFEFE"/>
            </w:rPr>
            <w:t>България в ЕС, възниква необходимост от актуализация на НСРР 2005-2015 г. и от промени в националната законодателна рамка за регионално развитие. През 2008 г. е подготвен и приет нов</w:t>
          </w:r>
          <w:r w:rsidR="00BB5BE5">
            <w:rPr>
              <w:rFonts w:ascii="Times New Roman" w:eastAsia="Times New Roman" w:hAnsi="Times New Roman" w:cs="Times New Roman"/>
              <w:sz w:val="24"/>
              <w:szCs w:val="24"/>
              <w:highlight w:val="white"/>
              <w:shd w:val="clear" w:color="auto" w:fill="FEFEFE"/>
            </w:rPr>
            <w:t xml:space="preserve"> Закон за регионалното развитие</w:t>
          </w:r>
          <w:r w:rsidRPr="00FE121C">
            <w:rPr>
              <w:rFonts w:ascii="Times New Roman" w:eastAsia="Times New Roman" w:hAnsi="Times New Roman" w:cs="Times New Roman"/>
              <w:sz w:val="24"/>
              <w:szCs w:val="24"/>
              <w:highlight w:val="white"/>
              <w:shd w:val="clear" w:color="auto" w:fill="FEFEFE"/>
            </w:rPr>
            <w:t xml:space="preserve">. Законът е съобразен с прякото действие на разпоредбите на европейското право за България като държава-членка на Европейския съюз и цели създаването на взаимовръзки между националната нормативна уредба за регионално развитие и законодателството на Общността. Предвид настъпилите промени в националната законодателна рамка и тази на Европейския съюз е направена актуализация на НСРР, като е разработен Актуализиран документ за изпълнение на Националната стратегия за регионално развитие в периода 2011-2015 г., който допълва документа приет през 2005 г. </w:t>
          </w:r>
        </w:p>
        <w:p w:rsidR="00FE121C" w:rsidRPr="00FE121C" w:rsidRDefault="00FE121C" w:rsidP="00FE121C">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highlight w:val="white"/>
              <w:shd w:val="clear" w:color="auto" w:fill="FEFEFE"/>
            </w:rPr>
          </w:pPr>
          <w:r w:rsidRPr="00FE121C">
            <w:rPr>
              <w:rFonts w:ascii="Times New Roman" w:eastAsia="Times New Roman" w:hAnsi="Times New Roman" w:cs="Times New Roman"/>
              <w:sz w:val="24"/>
              <w:szCs w:val="24"/>
              <w:highlight w:val="white"/>
              <w:shd w:val="clear" w:color="auto" w:fill="FEFEFE"/>
            </w:rPr>
            <w:t>Последващата оценка е направена на база на двата документа, като при оценката на изпълнението на стратегическите цели и приоритети са взети предвид тези, определени в Актуализирания документ за изпълнение на НСРР 2011-2015 г.</w:t>
          </w:r>
        </w:p>
        <w:p w:rsidR="002C5172" w:rsidRDefault="00FE121C" w:rsidP="00FE121C">
          <w:pPr>
            <w:widowControl w:val="0"/>
            <w:autoSpaceDE w:val="0"/>
            <w:autoSpaceDN w:val="0"/>
            <w:adjustRightInd w:val="0"/>
            <w:spacing w:after="0" w:line="360" w:lineRule="auto"/>
            <w:ind w:firstLine="708"/>
            <w:jc w:val="both"/>
            <w:rPr>
              <w:rFonts w:ascii="Times New Roman" w:hAnsi="Times New Roman" w:cs="Times New Roman"/>
              <w:b/>
              <w:color w:val="FFFFFF" w:themeColor="background1"/>
              <w:sz w:val="28"/>
              <w:szCs w:val="28"/>
              <w:lang w:val="en-US"/>
            </w:rPr>
          </w:pPr>
          <w:r w:rsidRPr="00FE121C">
            <w:rPr>
              <w:rFonts w:ascii="Times New Roman" w:eastAsia="Times New Roman" w:hAnsi="Times New Roman" w:cs="Times New Roman"/>
              <w:sz w:val="24"/>
              <w:szCs w:val="24"/>
              <w:highlight w:val="white"/>
              <w:shd w:val="clear" w:color="auto" w:fill="FEFEFE"/>
            </w:rPr>
            <w:t>За целите на последващата оценка е проведена анкета сред партньорите и заинтересованите страни в областта на регионалното развитие за всеки от районите от ниво 2. Резултатите от последващата оценка са обсъдени на заседания на регионалните съвети за развитие.</w:t>
          </w:r>
        </w:p>
      </w:sdtContent>
    </w:sdt>
    <w:p w:rsidR="00FE121C" w:rsidRPr="00FE121C" w:rsidRDefault="00FE121C" w:rsidP="00FE121C">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highlight w:val="white"/>
          <w:shd w:val="clear" w:color="auto" w:fill="FEFEFE"/>
          <w:lang w:val="en-US"/>
        </w:rPr>
      </w:pPr>
    </w:p>
    <w:p w:rsidR="001E53C5" w:rsidRPr="00A1664F" w:rsidRDefault="001C2177" w:rsidP="0025387F">
      <w:pPr>
        <w:pStyle w:val="Heading1"/>
        <w:numPr>
          <w:ilvl w:val="0"/>
          <w:numId w:val="2"/>
        </w:numPr>
        <w:jc w:val="both"/>
        <w:rPr>
          <w:rFonts w:eastAsia="Times New Roman" w:cs="Times New Roman"/>
          <w:lang w:eastAsia="bg-BG"/>
        </w:rPr>
      </w:pPr>
      <w:bookmarkStart w:id="2" w:name="_Toc478043743"/>
      <w:r w:rsidRPr="0099050E">
        <w:rPr>
          <w:rFonts w:eastAsia="Times New Roman" w:cs="Times New Roman"/>
          <w:lang w:eastAsia="bg-BG"/>
        </w:rPr>
        <w:t>ЕФЕКТИВНОСТ НА ИЗПЪЛНЕНИЕТО НА ЦЕЛИТЕ И ПРИО</w:t>
      </w:r>
      <w:r>
        <w:rPr>
          <w:rFonts w:eastAsia="Times New Roman" w:cs="Times New Roman"/>
          <w:lang w:eastAsia="bg-BG"/>
        </w:rPr>
        <w:t>РИТЕТИТЕ ЗА РЕГИОНАЛНО РАЗВИТИЕ</w:t>
      </w:r>
      <w:r w:rsidRPr="0099050E">
        <w:rPr>
          <w:rFonts w:eastAsia="Times New Roman" w:cs="Times New Roman"/>
          <w:lang w:eastAsia="bg-BG"/>
        </w:rPr>
        <w:t xml:space="preserve"> ПРЕЗ ПЕРИОДА НА ДЕЙСТВИЕ НА НАЦИОНАЛНАТА СТРАТЕГИЯ ЗА РЕГИОНАЛНО РАЗВИТИЕ 2005-2015 Г.</w:t>
      </w:r>
      <w:bookmarkEnd w:id="2"/>
    </w:p>
    <w:p w:rsidR="00D00C0B" w:rsidRDefault="00D00C0B" w:rsidP="001E53C5">
      <w:pPr>
        <w:widowControl w:val="0"/>
        <w:autoSpaceDE w:val="0"/>
        <w:autoSpaceDN w:val="0"/>
        <w:adjustRightInd w:val="0"/>
        <w:spacing w:after="0" w:line="360" w:lineRule="auto"/>
        <w:ind w:right="22" w:firstLine="900"/>
        <w:jc w:val="both"/>
        <w:rPr>
          <w:rFonts w:ascii="Times New Roman" w:eastAsia="Times New Roman" w:hAnsi="Times New Roman" w:cs="Times New Roman"/>
          <w:b/>
          <w:sz w:val="24"/>
          <w:szCs w:val="24"/>
          <w:lang w:eastAsia="bg-BG"/>
        </w:rPr>
      </w:pPr>
    </w:p>
    <w:p w:rsidR="00FE121C" w:rsidRDefault="00FE121C" w:rsidP="00FE121C">
      <w:pPr>
        <w:spacing w:after="0" w:line="360" w:lineRule="auto"/>
        <w:ind w:firstLine="708"/>
        <w:jc w:val="both"/>
        <w:rPr>
          <w:rFonts w:ascii="Times New Roman" w:eastAsia="Calibri" w:hAnsi="Times New Roman" w:cs="Times New Roman"/>
          <w:sz w:val="24"/>
          <w:szCs w:val="24"/>
          <w:lang w:eastAsia="bg-BG"/>
        </w:rPr>
      </w:pPr>
      <w:r w:rsidRPr="00FE121C">
        <w:rPr>
          <w:rFonts w:ascii="Times New Roman" w:eastAsia="Calibri" w:hAnsi="Times New Roman" w:cs="Times New Roman"/>
          <w:sz w:val="24"/>
          <w:szCs w:val="24"/>
          <w:lang w:eastAsia="bg-BG"/>
        </w:rPr>
        <w:t>Оценката на общото въздействие и настъпилите промени в резултат на цялостното изпълнение на Националната стратегия за регионално развитие 2005-2015 г.</w:t>
      </w:r>
      <w:r w:rsidRPr="00FE121C">
        <w:rPr>
          <w:rFonts w:ascii="Times New Roman" w:eastAsia="Calibri" w:hAnsi="Times New Roman" w:cs="Times New Roman"/>
          <w:sz w:val="24"/>
          <w:szCs w:val="24"/>
          <w:lang w:val="en-US" w:eastAsia="bg-BG"/>
        </w:rPr>
        <w:t xml:space="preserve"> </w:t>
      </w:r>
      <w:r w:rsidRPr="00FE121C">
        <w:rPr>
          <w:rFonts w:ascii="Times New Roman" w:eastAsia="Calibri" w:hAnsi="Times New Roman" w:cs="Times New Roman"/>
          <w:sz w:val="24"/>
          <w:szCs w:val="24"/>
          <w:lang w:eastAsia="bg-BG"/>
        </w:rPr>
        <w:t xml:space="preserve">показват, че изпълнението на целите на стратегията през периода 2005-2015 г. е </w:t>
      </w:r>
      <w:r w:rsidRPr="00FE121C">
        <w:rPr>
          <w:rFonts w:ascii="Times New Roman" w:eastAsia="Calibri" w:hAnsi="Times New Roman" w:cs="Times New Roman"/>
          <w:sz w:val="24"/>
          <w:szCs w:val="24"/>
          <w:lang w:eastAsia="bg-BG"/>
        </w:rPr>
        <w:lastRenderedPageBreak/>
        <w:t xml:space="preserve">постигнато в </w:t>
      </w:r>
      <w:r w:rsidR="000B0EA3">
        <w:rPr>
          <w:rFonts w:ascii="Times New Roman" w:eastAsia="Calibri" w:hAnsi="Times New Roman" w:cs="Times New Roman"/>
          <w:sz w:val="24"/>
          <w:szCs w:val="24"/>
          <w:lang w:eastAsia="bg-BG"/>
        </w:rPr>
        <w:t>средна</w:t>
      </w:r>
      <w:r w:rsidRPr="00FE121C">
        <w:rPr>
          <w:rFonts w:ascii="Times New Roman" w:eastAsia="Calibri" w:hAnsi="Times New Roman" w:cs="Times New Roman"/>
          <w:sz w:val="24"/>
          <w:szCs w:val="24"/>
          <w:lang w:eastAsia="bg-BG"/>
        </w:rPr>
        <w:t xml:space="preserve"> степен, която отразява реален напредък в развитието на районите и общините в България независимо от проявленията на световната финансова и икономическа криза след 2008 г. Резултатите от оценката се базират на обективна информация и данни, както и на проучвания на субективни състояния като удовлетвореност, подобрено качество на живот и т.н., проведен</w:t>
      </w:r>
      <w:r w:rsidR="00563EF6">
        <w:rPr>
          <w:rFonts w:ascii="Times New Roman" w:eastAsia="Calibri" w:hAnsi="Times New Roman" w:cs="Times New Roman"/>
          <w:sz w:val="24"/>
          <w:szCs w:val="24"/>
          <w:lang w:eastAsia="bg-BG"/>
        </w:rPr>
        <w:t>и сред определени целеви групи.</w:t>
      </w:r>
    </w:p>
    <w:p w:rsidR="00563EF6" w:rsidRPr="007578C2" w:rsidRDefault="00563EF6" w:rsidP="00563EF6">
      <w:pPr>
        <w:spacing w:after="0" w:line="360" w:lineRule="auto"/>
        <w:ind w:firstLine="708"/>
        <w:jc w:val="both"/>
        <w:rPr>
          <w:rFonts w:ascii="Times New Roman" w:eastAsia="Calibri" w:hAnsi="Times New Roman" w:cs="Times New Roman"/>
          <w:sz w:val="24"/>
          <w:szCs w:val="24"/>
          <w:lang w:val="en-US" w:eastAsia="bg-BG"/>
        </w:rPr>
      </w:pPr>
      <w:r w:rsidRPr="007578C2">
        <w:rPr>
          <w:rFonts w:ascii="Times New Roman" w:eastAsia="Calibri" w:hAnsi="Times New Roman" w:cs="Times New Roman"/>
          <w:sz w:val="24"/>
          <w:szCs w:val="24"/>
          <w:lang w:eastAsia="bg-BG"/>
        </w:rPr>
        <w:t>Методическият инструментариум на последващата оценка включва използването на  определени критерии за оценка, които характеризират най-общо потенциала за реализация и качеството на резултатите при изпълнението на Националната стратегия за регионално развитие за периода 2005-2015 г. Постигането на стратегическите цели и осъществяването на приоритетите за регионално развитие, залегнали в НСРР, е измерено като се отчита напредъка и достигнатата стойност по определени ключови физически и финансови индикатори за оценка на въздействието в различни социално-икономически, инфраструктурни и екологични сектори. Поради големия обем на анализираната информация, сложността на взаимовръзките на изследваните фактори и резултатите от въздействието върху регионалното развитие в национален мащаб за сравнително дълъг период на действие на стратегическия документ, последващата оценка на изпълнението има комплексен и интегрален характер и по същество представлява обобщаваща експертна оценка, базирана на използваните критерии и показатели.</w:t>
      </w:r>
    </w:p>
    <w:p w:rsidR="00563EF6" w:rsidRPr="007578C2" w:rsidRDefault="00563EF6" w:rsidP="00563EF6">
      <w:pPr>
        <w:spacing w:after="0" w:line="360" w:lineRule="auto"/>
        <w:ind w:firstLine="708"/>
        <w:jc w:val="both"/>
        <w:rPr>
          <w:rFonts w:ascii="Times New Roman" w:eastAsia="Calibri" w:hAnsi="Times New Roman" w:cs="Times New Roman"/>
          <w:sz w:val="24"/>
          <w:szCs w:val="24"/>
          <w:lang w:val="en-US" w:eastAsia="bg-BG"/>
        </w:rPr>
      </w:pPr>
      <w:r w:rsidRPr="007578C2">
        <w:rPr>
          <w:rFonts w:ascii="Times New Roman" w:eastAsia="Calibri" w:hAnsi="Times New Roman" w:cs="Times New Roman"/>
          <w:sz w:val="24"/>
          <w:szCs w:val="24"/>
          <w:lang w:eastAsia="bg-BG"/>
        </w:rPr>
        <w:t>В допълнение и като съществена част от използвания метод, последващата оценка се базира и на съвкупните резултати от анкетно проучване на резултатите и въздействието от изпълнението на Националната стратегия за регионално развитие след края на периода на нейното действие.</w:t>
      </w:r>
    </w:p>
    <w:p w:rsidR="00563EF6" w:rsidRPr="007578C2" w:rsidRDefault="00563EF6" w:rsidP="00563EF6">
      <w:pPr>
        <w:spacing w:after="0" w:line="360" w:lineRule="auto"/>
        <w:ind w:firstLine="708"/>
        <w:jc w:val="both"/>
        <w:rPr>
          <w:rFonts w:ascii="Times New Roman" w:eastAsia="Calibri" w:hAnsi="Times New Roman" w:cs="Times New Roman"/>
          <w:sz w:val="24"/>
          <w:szCs w:val="24"/>
          <w:lang w:eastAsia="bg-BG"/>
        </w:rPr>
      </w:pPr>
      <w:r w:rsidRPr="007578C2">
        <w:rPr>
          <w:rFonts w:ascii="Times New Roman" w:eastAsia="Calibri" w:hAnsi="Times New Roman" w:cs="Times New Roman"/>
          <w:bCs/>
          <w:sz w:val="24"/>
          <w:szCs w:val="24"/>
          <w:lang w:eastAsia="bg-BG"/>
        </w:rPr>
        <w:t xml:space="preserve">Последващата оценка използва следната степенна скала за оценка на резултатите от изпълнението на стратегическите цели и постигнатия напредък по реализацията на приоритетите за регионално развитие на национално ниво за периода 2005-2015 г.: </w:t>
      </w:r>
    </w:p>
    <w:p w:rsidR="00563EF6" w:rsidRPr="007578C2" w:rsidRDefault="00EB6F28" w:rsidP="00EB6F28">
      <w:pPr>
        <w:spacing w:after="0" w:line="360" w:lineRule="auto"/>
        <w:ind w:left="360"/>
        <w:jc w:val="both"/>
        <w:rPr>
          <w:rFonts w:ascii="Times New Roman" w:eastAsia="Calibri" w:hAnsi="Times New Roman" w:cs="Times New Roman"/>
          <w:sz w:val="24"/>
          <w:szCs w:val="24"/>
          <w:lang w:eastAsia="bg-BG"/>
        </w:rPr>
      </w:pPr>
      <w:r w:rsidRPr="007578C2">
        <w:rPr>
          <w:rFonts w:ascii="Times New Roman" w:eastAsia="Calibri" w:hAnsi="Times New Roman" w:cs="Times New Roman"/>
          <w:sz w:val="24"/>
          <w:szCs w:val="24"/>
          <w:lang w:eastAsia="bg-BG"/>
        </w:rPr>
        <w:t>1.</w:t>
      </w:r>
      <w:r w:rsidR="00563EF6" w:rsidRPr="007578C2">
        <w:rPr>
          <w:rFonts w:ascii="Times New Roman" w:eastAsia="Calibri" w:hAnsi="Times New Roman" w:cs="Times New Roman"/>
          <w:sz w:val="24"/>
          <w:szCs w:val="24"/>
          <w:lang w:eastAsia="bg-BG"/>
        </w:rPr>
        <w:t>минимални резултати/ незначителен напредък, съответно ниска степен на изпълнение;</w:t>
      </w:r>
    </w:p>
    <w:p w:rsidR="00563EF6" w:rsidRPr="007578C2" w:rsidRDefault="00EB6F28" w:rsidP="00EB6F28">
      <w:pPr>
        <w:spacing w:after="0" w:line="360" w:lineRule="auto"/>
        <w:ind w:left="360"/>
        <w:jc w:val="both"/>
        <w:rPr>
          <w:rFonts w:ascii="Times New Roman" w:eastAsia="Calibri" w:hAnsi="Times New Roman" w:cs="Times New Roman"/>
          <w:sz w:val="24"/>
          <w:szCs w:val="24"/>
          <w:lang w:eastAsia="bg-BG"/>
        </w:rPr>
      </w:pPr>
      <w:r w:rsidRPr="007578C2">
        <w:rPr>
          <w:rFonts w:ascii="Times New Roman" w:eastAsia="Calibri" w:hAnsi="Times New Roman" w:cs="Times New Roman"/>
          <w:sz w:val="24"/>
          <w:szCs w:val="24"/>
          <w:lang w:eastAsia="bg-BG"/>
        </w:rPr>
        <w:t>2.</w:t>
      </w:r>
      <w:r w:rsidR="00563EF6" w:rsidRPr="007578C2">
        <w:rPr>
          <w:rFonts w:ascii="Times New Roman" w:eastAsia="Calibri" w:hAnsi="Times New Roman" w:cs="Times New Roman"/>
          <w:sz w:val="24"/>
          <w:szCs w:val="24"/>
          <w:lang w:eastAsia="bg-BG"/>
        </w:rPr>
        <w:t>медианни резултати/ умерен напредък, съответно средна степен на изпълнение;</w:t>
      </w:r>
    </w:p>
    <w:p w:rsidR="00563EF6" w:rsidRPr="007578C2" w:rsidRDefault="00563EF6" w:rsidP="00563EF6">
      <w:pPr>
        <w:spacing w:after="0" w:line="360" w:lineRule="auto"/>
        <w:ind w:firstLine="708"/>
        <w:jc w:val="both"/>
        <w:rPr>
          <w:rFonts w:ascii="Times New Roman" w:eastAsia="Calibri" w:hAnsi="Times New Roman" w:cs="Times New Roman"/>
          <w:sz w:val="24"/>
          <w:szCs w:val="24"/>
          <w:lang w:eastAsia="bg-BG"/>
        </w:rPr>
      </w:pPr>
      <w:r w:rsidRPr="007578C2">
        <w:rPr>
          <w:rFonts w:ascii="Times New Roman" w:eastAsia="Calibri" w:hAnsi="Times New Roman" w:cs="Times New Roman"/>
          <w:sz w:val="24"/>
          <w:szCs w:val="24"/>
          <w:lang w:eastAsia="bg-BG"/>
        </w:rPr>
        <w:t>максимални резултати/значителен напредък, съответно висока степен на изпълнение.</w:t>
      </w:r>
    </w:p>
    <w:p w:rsidR="00FE121C" w:rsidRPr="00FE121C" w:rsidRDefault="00FE121C" w:rsidP="00FE121C">
      <w:pPr>
        <w:spacing w:after="0" w:line="360" w:lineRule="auto"/>
        <w:ind w:firstLine="708"/>
        <w:jc w:val="both"/>
        <w:rPr>
          <w:rFonts w:ascii="Times New Roman" w:eastAsia="Calibri" w:hAnsi="Times New Roman" w:cs="Times New Roman"/>
          <w:sz w:val="24"/>
          <w:szCs w:val="24"/>
          <w:lang w:eastAsia="bg-BG"/>
        </w:rPr>
      </w:pPr>
      <w:r w:rsidRPr="007578C2">
        <w:rPr>
          <w:rFonts w:ascii="Times New Roman" w:eastAsia="Calibri" w:hAnsi="Times New Roman" w:cs="Times New Roman"/>
          <w:sz w:val="24"/>
          <w:szCs w:val="24"/>
          <w:lang w:eastAsia="bg-BG"/>
        </w:rPr>
        <w:t xml:space="preserve">Въздействието от реализацията на специфичните цели, залегнали в </w:t>
      </w:r>
      <w:r w:rsidRPr="007578C2">
        <w:rPr>
          <w:rFonts w:ascii="Times New Roman" w:eastAsia="Calibri" w:hAnsi="Times New Roman" w:cs="Times New Roman"/>
          <w:b/>
          <w:sz w:val="24"/>
          <w:szCs w:val="24"/>
          <w:lang w:eastAsia="bg-BG"/>
        </w:rPr>
        <w:t>Приоритет 1: Повишаване на регионалната конкурентоспособност и интегрирано градско</w:t>
      </w:r>
      <w:r w:rsidRPr="00FE121C">
        <w:rPr>
          <w:rFonts w:ascii="Times New Roman" w:eastAsia="Calibri" w:hAnsi="Times New Roman" w:cs="Times New Roman"/>
          <w:b/>
          <w:sz w:val="24"/>
          <w:szCs w:val="24"/>
          <w:lang w:eastAsia="bg-BG"/>
        </w:rPr>
        <w:t xml:space="preserve"> </w:t>
      </w:r>
      <w:r w:rsidRPr="00FE121C">
        <w:rPr>
          <w:rFonts w:ascii="Times New Roman" w:eastAsia="Calibri" w:hAnsi="Times New Roman" w:cs="Times New Roman"/>
          <w:b/>
          <w:sz w:val="24"/>
          <w:szCs w:val="24"/>
          <w:lang w:eastAsia="bg-BG"/>
        </w:rPr>
        <w:lastRenderedPageBreak/>
        <w:t>развитие,</w:t>
      </w:r>
      <w:r w:rsidRPr="00FE121C">
        <w:rPr>
          <w:rFonts w:ascii="Times New Roman" w:eastAsia="Calibri" w:hAnsi="Times New Roman" w:cs="Times New Roman"/>
          <w:sz w:val="24"/>
          <w:szCs w:val="24"/>
          <w:lang w:eastAsia="bg-BG"/>
        </w:rPr>
        <w:t xml:space="preserve">  е в посока повишаване изследователската дейност, технологичното развитие и иновациите в подкрепа на регионалните икономики, подобряване на достъпа и развитието на информационните и комуникационни технологии в областта на публичните услуги и услугите за малките и средни предприятия</w:t>
      </w:r>
      <w:r w:rsidRPr="00FE121C">
        <w:rPr>
          <w:rFonts w:ascii="Times New Roman" w:eastAsia="Calibri" w:hAnsi="Times New Roman" w:cs="Times New Roman"/>
          <w:sz w:val="24"/>
          <w:szCs w:val="24"/>
          <w:lang w:val="en-US" w:eastAsia="bg-BG"/>
        </w:rPr>
        <w:t xml:space="preserve"> </w:t>
      </w:r>
      <w:r w:rsidRPr="00FE121C">
        <w:rPr>
          <w:rFonts w:ascii="Times New Roman" w:eastAsia="Calibri" w:hAnsi="Times New Roman" w:cs="Times New Roman"/>
          <w:sz w:val="24"/>
          <w:szCs w:val="24"/>
          <w:lang w:eastAsia="bg-BG"/>
        </w:rPr>
        <w:t xml:space="preserve">(МСП), интегрираното развитие на градовете и укрепване на взаимовръзката град-регион и изграждане на привлекателна градска среда, възстановяване на градски райони, насърчаване на екологично чист обществен транспорт. </w:t>
      </w:r>
    </w:p>
    <w:p w:rsidR="00FE121C" w:rsidRPr="00FE121C" w:rsidRDefault="00FE121C" w:rsidP="00FE121C">
      <w:pPr>
        <w:spacing w:after="0" w:line="240" w:lineRule="auto"/>
        <w:rPr>
          <w:rFonts w:ascii="Times New Roman" w:eastAsia="Times New Roman" w:hAnsi="Times New Roman" w:cs="Times New Roman"/>
          <w:b/>
          <w:bCs/>
          <w:sz w:val="24"/>
          <w:szCs w:val="24"/>
          <w:lang w:eastAsia="bg-BG"/>
        </w:rPr>
      </w:pPr>
      <w:bookmarkStart w:id="3" w:name="_Toc466554520"/>
      <w:r w:rsidRPr="00FE121C">
        <w:rPr>
          <w:rFonts w:ascii="Times New Roman" w:eastAsia="Times New Roman" w:hAnsi="Times New Roman" w:cs="Times New Roman"/>
          <w:b/>
          <w:bCs/>
          <w:sz w:val="24"/>
          <w:szCs w:val="24"/>
          <w:lang w:eastAsia="bg-BG"/>
        </w:rPr>
        <w:tab/>
      </w:r>
    </w:p>
    <w:p w:rsidR="00FE121C" w:rsidRPr="00FE121C" w:rsidRDefault="00FE121C" w:rsidP="00FE121C">
      <w:pPr>
        <w:spacing w:after="0" w:line="240" w:lineRule="auto"/>
        <w:rPr>
          <w:rFonts w:ascii="Times New Roman" w:eastAsia="Times New Roman" w:hAnsi="Times New Roman" w:cs="Times New Roman"/>
          <w:b/>
          <w:bCs/>
          <w:sz w:val="24"/>
          <w:szCs w:val="24"/>
          <w:lang w:eastAsia="bg-BG"/>
        </w:rPr>
      </w:pPr>
      <w:r w:rsidRPr="00FE121C">
        <w:rPr>
          <w:rFonts w:ascii="Times New Roman" w:eastAsia="Times New Roman" w:hAnsi="Times New Roman" w:cs="Times New Roman"/>
          <w:b/>
          <w:bCs/>
          <w:sz w:val="24"/>
          <w:szCs w:val="24"/>
          <w:lang w:eastAsia="bg-BG"/>
        </w:rPr>
        <w:tab/>
        <w:t xml:space="preserve">Таблица </w:t>
      </w:r>
      <w:r w:rsidRPr="00FE121C">
        <w:rPr>
          <w:rFonts w:ascii="Times New Roman" w:eastAsia="Times New Roman" w:hAnsi="Times New Roman" w:cs="Times New Roman"/>
          <w:b/>
          <w:bCs/>
          <w:sz w:val="24"/>
          <w:szCs w:val="24"/>
          <w:lang w:eastAsia="bg-BG"/>
        </w:rPr>
        <w:fldChar w:fldCharType="begin"/>
      </w:r>
      <w:r w:rsidRPr="00FE121C">
        <w:rPr>
          <w:rFonts w:ascii="Times New Roman" w:eastAsia="Times New Roman" w:hAnsi="Times New Roman" w:cs="Times New Roman"/>
          <w:b/>
          <w:bCs/>
          <w:sz w:val="24"/>
          <w:szCs w:val="24"/>
          <w:lang w:eastAsia="bg-BG"/>
        </w:rPr>
        <w:instrText xml:space="preserve"> SEQ таблица \* ARABIC </w:instrText>
      </w:r>
      <w:r w:rsidRPr="00FE121C">
        <w:rPr>
          <w:rFonts w:ascii="Times New Roman" w:eastAsia="Times New Roman" w:hAnsi="Times New Roman" w:cs="Times New Roman"/>
          <w:b/>
          <w:bCs/>
          <w:sz w:val="24"/>
          <w:szCs w:val="24"/>
          <w:lang w:eastAsia="bg-BG"/>
        </w:rPr>
        <w:fldChar w:fldCharType="separate"/>
      </w:r>
      <w:r w:rsidRPr="00FE121C">
        <w:rPr>
          <w:rFonts w:ascii="Times New Roman" w:eastAsia="Times New Roman" w:hAnsi="Times New Roman" w:cs="Times New Roman"/>
          <w:b/>
          <w:bCs/>
          <w:noProof/>
          <w:sz w:val="24"/>
          <w:szCs w:val="24"/>
          <w:lang w:eastAsia="bg-BG"/>
        </w:rPr>
        <w:t>1</w:t>
      </w:r>
      <w:r w:rsidRPr="00FE121C">
        <w:rPr>
          <w:rFonts w:ascii="Times New Roman" w:eastAsia="Times New Roman" w:hAnsi="Times New Roman" w:cs="Times New Roman"/>
          <w:b/>
          <w:bCs/>
          <w:sz w:val="24"/>
          <w:szCs w:val="24"/>
          <w:lang w:eastAsia="bg-BG"/>
        </w:rPr>
        <w:fldChar w:fldCharType="end"/>
      </w:r>
      <w:r w:rsidRPr="00FE121C">
        <w:rPr>
          <w:rFonts w:ascii="Times New Roman" w:eastAsia="Times New Roman" w:hAnsi="Times New Roman" w:cs="Times New Roman"/>
          <w:b/>
          <w:bCs/>
          <w:sz w:val="24"/>
          <w:szCs w:val="24"/>
          <w:lang w:eastAsia="bg-BG"/>
        </w:rPr>
        <w:t xml:space="preserve">. БВП на глава от населението, като дял от средния за регионите в </w:t>
      </w:r>
      <w:r w:rsidRPr="00FE121C">
        <w:rPr>
          <w:rFonts w:ascii="Times New Roman" w:eastAsia="Times New Roman" w:hAnsi="Times New Roman" w:cs="Times New Roman"/>
          <w:b/>
          <w:bCs/>
          <w:sz w:val="24"/>
          <w:szCs w:val="24"/>
          <w:lang w:eastAsia="bg-BG"/>
        </w:rPr>
        <w:tab/>
        <w:t xml:space="preserve">ЕС-28 </w:t>
      </w:r>
      <w:r w:rsidRPr="00FE121C">
        <w:rPr>
          <w:rFonts w:ascii="Times New Roman" w:eastAsia="Times New Roman" w:hAnsi="Times New Roman" w:cs="Times New Roman"/>
          <w:b/>
          <w:bCs/>
          <w:sz w:val="24"/>
          <w:szCs w:val="24"/>
          <w:lang w:val="en-US" w:eastAsia="bg-BG"/>
        </w:rPr>
        <w:t xml:space="preserve"> </w:t>
      </w:r>
      <w:r w:rsidRPr="00FE121C">
        <w:rPr>
          <w:rFonts w:ascii="Times New Roman" w:eastAsia="Times New Roman" w:hAnsi="Times New Roman" w:cs="Times New Roman"/>
          <w:b/>
          <w:bCs/>
          <w:sz w:val="24"/>
          <w:szCs w:val="24"/>
          <w:lang w:eastAsia="bg-BG"/>
        </w:rPr>
        <w:t>към 2014 г.</w:t>
      </w:r>
      <w:bookmarkEnd w:id="3"/>
    </w:p>
    <w:tbl>
      <w:tblPr>
        <w:tblStyle w:val="GridTable4-Accent111"/>
        <w:tblpPr w:leftFromText="141" w:rightFromText="141" w:vertAnchor="text" w:horzAnchor="margin" w:tblpXSpec="center" w:tblpY="100"/>
        <w:tblW w:w="0" w:type="auto"/>
        <w:tblLook w:val="04A0" w:firstRow="1" w:lastRow="0" w:firstColumn="1" w:lastColumn="0" w:noHBand="0" w:noVBand="1"/>
      </w:tblPr>
      <w:tblGrid>
        <w:gridCol w:w="3119"/>
        <w:gridCol w:w="2551"/>
        <w:gridCol w:w="2410"/>
      </w:tblGrid>
      <w:tr w:rsidR="00FE121C" w:rsidRPr="00FE121C" w:rsidTr="00376D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E121C" w:rsidRPr="00FE121C" w:rsidRDefault="00FE121C" w:rsidP="00FE121C">
            <w:pPr>
              <w:widowControl w:val="0"/>
              <w:autoSpaceDE w:val="0"/>
              <w:autoSpaceDN w:val="0"/>
              <w:adjustRightInd w:val="0"/>
              <w:spacing w:after="160" w:line="360" w:lineRule="auto"/>
              <w:ind w:right="22"/>
              <w:jc w:val="center"/>
              <w:rPr>
                <w:rFonts w:ascii="Times New Roman" w:eastAsia="Calibri" w:hAnsi="Times New Roman" w:cs="Times New Roman"/>
                <w:sz w:val="24"/>
                <w:szCs w:val="24"/>
                <w:lang w:val="bg-BG"/>
              </w:rPr>
            </w:pPr>
            <w:r w:rsidRPr="00FE121C">
              <w:rPr>
                <w:rFonts w:ascii="Times New Roman" w:eastAsia="Calibri" w:hAnsi="Times New Roman" w:cs="Times New Roman"/>
                <w:sz w:val="24"/>
                <w:szCs w:val="24"/>
                <w:lang w:val="bg-BG"/>
              </w:rPr>
              <w:t>Район</w:t>
            </w:r>
          </w:p>
        </w:tc>
        <w:tc>
          <w:tcPr>
            <w:tcW w:w="2551" w:type="dxa"/>
          </w:tcPr>
          <w:p w:rsidR="00FE121C" w:rsidRPr="00FE121C" w:rsidRDefault="00FE121C" w:rsidP="00FE121C">
            <w:pPr>
              <w:widowControl w:val="0"/>
              <w:autoSpaceDE w:val="0"/>
              <w:autoSpaceDN w:val="0"/>
              <w:adjustRightInd w:val="0"/>
              <w:spacing w:after="160" w:line="360" w:lineRule="auto"/>
              <w:ind w:right="22"/>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lang w:val="bg-BG"/>
              </w:rPr>
            </w:pPr>
            <w:r w:rsidRPr="00FE121C">
              <w:rPr>
                <w:rFonts w:ascii="Times New Roman" w:eastAsia="Calibri" w:hAnsi="Times New Roman" w:cs="Times New Roman"/>
                <w:lang w:val="bg-BG"/>
              </w:rPr>
              <w:t>Целева стойност към 2015 г.</w:t>
            </w:r>
          </w:p>
        </w:tc>
        <w:tc>
          <w:tcPr>
            <w:tcW w:w="2410" w:type="dxa"/>
          </w:tcPr>
          <w:p w:rsidR="00FE121C" w:rsidRPr="00FE121C" w:rsidRDefault="00FE121C" w:rsidP="00FE121C">
            <w:pPr>
              <w:widowControl w:val="0"/>
              <w:autoSpaceDE w:val="0"/>
              <w:autoSpaceDN w:val="0"/>
              <w:adjustRightInd w:val="0"/>
              <w:spacing w:after="160" w:line="360" w:lineRule="auto"/>
              <w:ind w:right="22"/>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lang w:val="bg-BG"/>
              </w:rPr>
            </w:pPr>
            <w:r w:rsidRPr="00FE121C">
              <w:rPr>
                <w:rFonts w:ascii="Times New Roman" w:eastAsia="Calibri" w:hAnsi="Times New Roman" w:cs="Times New Roman"/>
                <w:lang w:val="bg-BG"/>
              </w:rPr>
              <w:t>Отчетена стойност към 2014 г.</w:t>
            </w:r>
          </w:p>
        </w:tc>
      </w:tr>
      <w:tr w:rsidR="00FE121C" w:rsidRPr="00FE121C" w:rsidTr="00376D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E121C" w:rsidRPr="00FE121C" w:rsidRDefault="00FE121C" w:rsidP="00FE121C">
            <w:pPr>
              <w:widowControl w:val="0"/>
              <w:autoSpaceDE w:val="0"/>
              <w:autoSpaceDN w:val="0"/>
              <w:adjustRightInd w:val="0"/>
              <w:spacing w:after="160" w:line="360" w:lineRule="auto"/>
              <w:ind w:right="22"/>
              <w:jc w:val="both"/>
              <w:rPr>
                <w:rFonts w:ascii="Times New Roman" w:eastAsia="Calibri" w:hAnsi="Times New Roman" w:cs="Times New Roman"/>
                <w:sz w:val="24"/>
                <w:szCs w:val="24"/>
                <w:lang w:val="bg-BG"/>
              </w:rPr>
            </w:pPr>
            <w:r w:rsidRPr="00FE121C">
              <w:rPr>
                <w:rFonts w:ascii="Times New Roman" w:eastAsia="Calibri" w:hAnsi="Times New Roman" w:cs="Times New Roman"/>
                <w:sz w:val="24"/>
                <w:szCs w:val="24"/>
                <w:lang w:val="bg-BG"/>
              </w:rPr>
              <w:t xml:space="preserve">Югозападен </w:t>
            </w:r>
          </w:p>
        </w:tc>
        <w:tc>
          <w:tcPr>
            <w:tcW w:w="2551" w:type="dxa"/>
          </w:tcPr>
          <w:p w:rsidR="00FE121C" w:rsidRPr="00FE121C" w:rsidRDefault="00FE121C" w:rsidP="00FE121C">
            <w:pPr>
              <w:widowControl w:val="0"/>
              <w:autoSpaceDE w:val="0"/>
              <w:autoSpaceDN w:val="0"/>
              <w:adjustRightInd w:val="0"/>
              <w:spacing w:after="160" w:line="360" w:lineRule="auto"/>
              <w:ind w:right="22"/>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bg-BG"/>
              </w:rPr>
            </w:pPr>
            <w:r w:rsidRPr="00FE121C">
              <w:rPr>
                <w:rFonts w:ascii="Times New Roman" w:eastAsia="Calibri" w:hAnsi="Times New Roman" w:cs="Times New Roman"/>
                <w:sz w:val="24"/>
                <w:szCs w:val="24"/>
                <w:lang w:val="bg-BG"/>
              </w:rPr>
              <w:t>75 %</w:t>
            </w:r>
          </w:p>
        </w:tc>
        <w:tc>
          <w:tcPr>
            <w:tcW w:w="2410" w:type="dxa"/>
          </w:tcPr>
          <w:p w:rsidR="00FE121C" w:rsidRPr="00FE121C" w:rsidRDefault="00FE121C" w:rsidP="00FE121C">
            <w:pPr>
              <w:widowControl w:val="0"/>
              <w:autoSpaceDE w:val="0"/>
              <w:autoSpaceDN w:val="0"/>
              <w:adjustRightInd w:val="0"/>
              <w:spacing w:after="160" w:line="360" w:lineRule="auto"/>
              <w:ind w:right="22"/>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bg-BG"/>
              </w:rPr>
            </w:pPr>
            <w:r w:rsidRPr="00FE121C">
              <w:rPr>
                <w:rFonts w:ascii="Times New Roman" w:eastAsia="Calibri" w:hAnsi="Times New Roman" w:cs="Times New Roman"/>
                <w:sz w:val="24"/>
                <w:szCs w:val="24"/>
                <w:lang w:val="bg-BG"/>
              </w:rPr>
              <w:t>75 %</w:t>
            </w:r>
          </w:p>
        </w:tc>
      </w:tr>
      <w:tr w:rsidR="00FE121C" w:rsidRPr="00FE121C" w:rsidTr="00376DD3">
        <w:tc>
          <w:tcPr>
            <w:cnfStyle w:val="001000000000" w:firstRow="0" w:lastRow="0" w:firstColumn="1" w:lastColumn="0" w:oddVBand="0" w:evenVBand="0" w:oddHBand="0" w:evenHBand="0" w:firstRowFirstColumn="0" w:firstRowLastColumn="0" w:lastRowFirstColumn="0" w:lastRowLastColumn="0"/>
            <w:tcW w:w="3119" w:type="dxa"/>
          </w:tcPr>
          <w:p w:rsidR="00FE121C" w:rsidRPr="00FE121C" w:rsidRDefault="00FE121C" w:rsidP="00FE121C">
            <w:pPr>
              <w:widowControl w:val="0"/>
              <w:autoSpaceDE w:val="0"/>
              <w:autoSpaceDN w:val="0"/>
              <w:adjustRightInd w:val="0"/>
              <w:spacing w:after="160" w:line="360" w:lineRule="auto"/>
              <w:ind w:right="22"/>
              <w:jc w:val="both"/>
              <w:rPr>
                <w:rFonts w:ascii="Times New Roman" w:eastAsia="Calibri" w:hAnsi="Times New Roman" w:cs="Times New Roman"/>
                <w:sz w:val="24"/>
                <w:szCs w:val="24"/>
                <w:lang w:val="bg-BG"/>
              </w:rPr>
            </w:pPr>
            <w:r w:rsidRPr="00FE121C">
              <w:rPr>
                <w:rFonts w:ascii="Times New Roman" w:eastAsia="Calibri" w:hAnsi="Times New Roman" w:cs="Times New Roman"/>
                <w:sz w:val="24"/>
                <w:szCs w:val="24"/>
                <w:lang w:val="bg-BG"/>
              </w:rPr>
              <w:t xml:space="preserve">Североизточен </w:t>
            </w:r>
          </w:p>
        </w:tc>
        <w:tc>
          <w:tcPr>
            <w:tcW w:w="2551" w:type="dxa"/>
          </w:tcPr>
          <w:p w:rsidR="00FE121C" w:rsidRPr="00FE121C" w:rsidRDefault="00FE121C" w:rsidP="00FE121C">
            <w:pPr>
              <w:widowControl w:val="0"/>
              <w:autoSpaceDE w:val="0"/>
              <w:autoSpaceDN w:val="0"/>
              <w:adjustRightInd w:val="0"/>
              <w:spacing w:after="160" w:line="360" w:lineRule="auto"/>
              <w:ind w:right="22"/>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bg-BG"/>
              </w:rPr>
            </w:pPr>
            <w:r w:rsidRPr="00FE121C">
              <w:rPr>
                <w:rFonts w:ascii="Times New Roman" w:eastAsia="Calibri" w:hAnsi="Times New Roman" w:cs="Times New Roman"/>
                <w:sz w:val="24"/>
                <w:szCs w:val="24"/>
                <w:lang w:val="bg-BG"/>
              </w:rPr>
              <w:t>50%</w:t>
            </w:r>
          </w:p>
        </w:tc>
        <w:tc>
          <w:tcPr>
            <w:tcW w:w="2410" w:type="dxa"/>
          </w:tcPr>
          <w:p w:rsidR="00FE121C" w:rsidRPr="00FE121C" w:rsidRDefault="00FE121C" w:rsidP="00FE121C">
            <w:pPr>
              <w:widowControl w:val="0"/>
              <w:autoSpaceDE w:val="0"/>
              <w:autoSpaceDN w:val="0"/>
              <w:adjustRightInd w:val="0"/>
              <w:spacing w:after="160" w:line="360" w:lineRule="auto"/>
              <w:ind w:right="22"/>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bg-BG"/>
              </w:rPr>
            </w:pPr>
            <w:r w:rsidRPr="00FE121C">
              <w:rPr>
                <w:rFonts w:ascii="Times New Roman" w:eastAsia="Calibri" w:hAnsi="Times New Roman" w:cs="Times New Roman"/>
                <w:sz w:val="24"/>
                <w:szCs w:val="24"/>
                <w:lang w:val="bg-BG"/>
              </w:rPr>
              <w:t>39,%</w:t>
            </w:r>
          </w:p>
        </w:tc>
      </w:tr>
      <w:tr w:rsidR="00FE121C" w:rsidRPr="00FE121C" w:rsidTr="00376D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E121C" w:rsidRPr="00FE121C" w:rsidRDefault="00FE121C" w:rsidP="00FE121C">
            <w:pPr>
              <w:widowControl w:val="0"/>
              <w:autoSpaceDE w:val="0"/>
              <w:autoSpaceDN w:val="0"/>
              <w:adjustRightInd w:val="0"/>
              <w:spacing w:after="160" w:line="360" w:lineRule="auto"/>
              <w:ind w:right="22"/>
              <w:jc w:val="both"/>
              <w:rPr>
                <w:rFonts w:ascii="Times New Roman" w:eastAsia="Calibri" w:hAnsi="Times New Roman" w:cs="Times New Roman"/>
                <w:sz w:val="24"/>
                <w:szCs w:val="24"/>
                <w:lang w:val="bg-BG"/>
              </w:rPr>
            </w:pPr>
            <w:r w:rsidRPr="00FE121C">
              <w:rPr>
                <w:rFonts w:ascii="Times New Roman" w:eastAsia="Calibri" w:hAnsi="Times New Roman" w:cs="Times New Roman"/>
                <w:sz w:val="24"/>
                <w:szCs w:val="24"/>
                <w:lang w:val="bg-BG"/>
              </w:rPr>
              <w:t xml:space="preserve">Югоизточен </w:t>
            </w:r>
          </w:p>
        </w:tc>
        <w:tc>
          <w:tcPr>
            <w:tcW w:w="2551" w:type="dxa"/>
          </w:tcPr>
          <w:p w:rsidR="00FE121C" w:rsidRPr="00FE121C" w:rsidRDefault="00FE121C" w:rsidP="00FE121C">
            <w:pPr>
              <w:widowControl w:val="0"/>
              <w:autoSpaceDE w:val="0"/>
              <w:autoSpaceDN w:val="0"/>
              <w:adjustRightInd w:val="0"/>
              <w:spacing w:after="160" w:line="360" w:lineRule="auto"/>
              <w:ind w:right="22"/>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bg-BG"/>
              </w:rPr>
            </w:pPr>
            <w:r w:rsidRPr="00FE121C">
              <w:rPr>
                <w:rFonts w:ascii="Times New Roman" w:eastAsia="Calibri" w:hAnsi="Times New Roman" w:cs="Times New Roman"/>
                <w:sz w:val="24"/>
                <w:szCs w:val="24"/>
                <w:lang w:val="bg-BG"/>
              </w:rPr>
              <w:t>50%;</w:t>
            </w:r>
          </w:p>
        </w:tc>
        <w:tc>
          <w:tcPr>
            <w:tcW w:w="2410" w:type="dxa"/>
          </w:tcPr>
          <w:p w:rsidR="00FE121C" w:rsidRPr="00FE121C" w:rsidRDefault="00FE121C" w:rsidP="00FE121C">
            <w:pPr>
              <w:widowControl w:val="0"/>
              <w:autoSpaceDE w:val="0"/>
              <w:autoSpaceDN w:val="0"/>
              <w:adjustRightInd w:val="0"/>
              <w:spacing w:after="160" w:line="360" w:lineRule="auto"/>
              <w:ind w:right="22"/>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bg-BG"/>
              </w:rPr>
            </w:pPr>
            <w:r w:rsidRPr="00FE121C">
              <w:rPr>
                <w:rFonts w:ascii="Times New Roman" w:eastAsia="Calibri" w:hAnsi="Times New Roman" w:cs="Times New Roman"/>
                <w:sz w:val="24"/>
                <w:szCs w:val="24"/>
                <w:lang w:val="bg-BG"/>
              </w:rPr>
              <w:t>39 %</w:t>
            </w:r>
          </w:p>
        </w:tc>
      </w:tr>
      <w:tr w:rsidR="00FE121C" w:rsidRPr="00FE121C" w:rsidTr="00376DD3">
        <w:tc>
          <w:tcPr>
            <w:cnfStyle w:val="001000000000" w:firstRow="0" w:lastRow="0" w:firstColumn="1" w:lastColumn="0" w:oddVBand="0" w:evenVBand="0" w:oddHBand="0" w:evenHBand="0" w:firstRowFirstColumn="0" w:firstRowLastColumn="0" w:lastRowFirstColumn="0" w:lastRowLastColumn="0"/>
            <w:tcW w:w="3119" w:type="dxa"/>
          </w:tcPr>
          <w:p w:rsidR="00FE121C" w:rsidRPr="00FE121C" w:rsidRDefault="00FE121C" w:rsidP="00FE121C">
            <w:pPr>
              <w:widowControl w:val="0"/>
              <w:autoSpaceDE w:val="0"/>
              <w:autoSpaceDN w:val="0"/>
              <w:adjustRightInd w:val="0"/>
              <w:spacing w:after="160" w:line="360" w:lineRule="auto"/>
              <w:ind w:right="22"/>
              <w:jc w:val="both"/>
              <w:rPr>
                <w:rFonts w:ascii="Times New Roman" w:eastAsia="Calibri" w:hAnsi="Times New Roman" w:cs="Times New Roman"/>
                <w:sz w:val="24"/>
                <w:szCs w:val="24"/>
                <w:lang w:val="bg-BG"/>
              </w:rPr>
            </w:pPr>
            <w:r w:rsidRPr="00FE121C">
              <w:rPr>
                <w:rFonts w:ascii="Times New Roman" w:eastAsia="Calibri" w:hAnsi="Times New Roman" w:cs="Times New Roman"/>
                <w:sz w:val="24"/>
                <w:szCs w:val="24"/>
                <w:lang w:val="bg-BG"/>
              </w:rPr>
              <w:t xml:space="preserve">Северозападен </w:t>
            </w:r>
          </w:p>
        </w:tc>
        <w:tc>
          <w:tcPr>
            <w:tcW w:w="2551" w:type="dxa"/>
          </w:tcPr>
          <w:p w:rsidR="00FE121C" w:rsidRPr="00FE121C" w:rsidRDefault="00FE121C" w:rsidP="00FE121C">
            <w:pPr>
              <w:widowControl w:val="0"/>
              <w:autoSpaceDE w:val="0"/>
              <w:autoSpaceDN w:val="0"/>
              <w:adjustRightInd w:val="0"/>
              <w:spacing w:after="160" w:line="360" w:lineRule="auto"/>
              <w:ind w:right="22"/>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bg-BG"/>
              </w:rPr>
            </w:pPr>
            <w:r w:rsidRPr="00FE121C">
              <w:rPr>
                <w:rFonts w:ascii="Times New Roman" w:eastAsia="Calibri" w:hAnsi="Times New Roman" w:cs="Times New Roman"/>
                <w:sz w:val="24"/>
                <w:szCs w:val="24"/>
                <w:lang w:val="bg-BG"/>
              </w:rPr>
              <w:t>45 %</w:t>
            </w:r>
          </w:p>
        </w:tc>
        <w:tc>
          <w:tcPr>
            <w:tcW w:w="2410" w:type="dxa"/>
          </w:tcPr>
          <w:p w:rsidR="00FE121C" w:rsidRPr="00FE121C" w:rsidRDefault="00FE121C" w:rsidP="00FE121C">
            <w:pPr>
              <w:widowControl w:val="0"/>
              <w:autoSpaceDE w:val="0"/>
              <w:autoSpaceDN w:val="0"/>
              <w:adjustRightInd w:val="0"/>
              <w:spacing w:after="160" w:line="360" w:lineRule="auto"/>
              <w:ind w:right="22"/>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bg-BG"/>
              </w:rPr>
            </w:pPr>
            <w:r w:rsidRPr="00FE121C">
              <w:rPr>
                <w:rFonts w:ascii="Times New Roman" w:eastAsia="Calibri" w:hAnsi="Times New Roman" w:cs="Times New Roman"/>
                <w:sz w:val="24"/>
                <w:szCs w:val="24"/>
                <w:lang w:val="bg-BG"/>
              </w:rPr>
              <w:t>30 %</w:t>
            </w:r>
          </w:p>
        </w:tc>
      </w:tr>
      <w:tr w:rsidR="00FE121C" w:rsidRPr="00FE121C" w:rsidTr="00376D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FE121C" w:rsidRPr="00FE121C" w:rsidRDefault="00FE121C" w:rsidP="00FE121C">
            <w:pPr>
              <w:widowControl w:val="0"/>
              <w:autoSpaceDE w:val="0"/>
              <w:autoSpaceDN w:val="0"/>
              <w:adjustRightInd w:val="0"/>
              <w:spacing w:after="160" w:line="360" w:lineRule="auto"/>
              <w:ind w:right="22"/>
              <w:jc w:val="both"/>
              <w:rPr>
                <w:rFonts w:ascii="Times New Roman" w:eastAsia="Calibri" w:hAnsi="Times New Roman" w:cs="Times New Roman"/>
                <w:sz w:val="24"/>
                <w:szCs w:val="24"/>
                <w:lang w:val="bg-BG"/>
              </w:rPr>
            </w:pPr>
            <w:r w:rsidRPr="00FE121C">
              <w:rPr>
                <w:rFonts w:ascii="Times New Roman" w:eastAsia="Calibri" w:hAnsi="Times New Roman" w:cs="Times New Roman"/>
                <w:sz w:val="24"/>
                <w:szCs w:val="24"/>
                <w:lang w:val="bg-BG"/>
              </w:rPr>
              <w:t xml:space="preserve">Северен централен </w:t>
            </w:r>
          </w:p>
        </w:tc>
        <w:tc>
          <w:tcPr>
            <w:tcW w:w="2551" w:type="dxa"/>
          </w:tcPr>
          <w:p w:rsidR="00FE121C" w:rsidRPr="00FE121C" w:rsidRDefault="00FE121C" w:rsidP="00FE121C">
            <w:pPr>
              <w:widowControl w:val="0"/>
              <w:autoSpaceDE w:val="0"/>
              <w:autoSpaceDN w:val="0"/>
              <w:adjustRightInd w:val="0"/>
              <w:spacing w:after="160" w:line="360" w:lineRule="auto"/>
              <w:ind w:right="22"/>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bg-BG"/>
              </w:rPr>
            </w:pPr>
            <w:r w:rsidRPr="00FE121C">
              <w:rPr>
                <w:rFonts w:ascii="Times New Roman" w:eastAsia="Calibri" w:hAnsi="Times New Roman" w:cs="Times New Roman"/>
                <w:sz w:val="24"/>
                <w:szCs w:val="24"/>
                <w:lang w:val="bg-BG"/>
              </w:rPr>
              <w:t>45%</w:t>
            </w:r>
          </w:p>
        </w:tc>
        <w:tc>
          <w:tcPr>
            <w:tcW w:w="2410" w:type="dxa"/>
          </w:tcPr>
          <w:p w:rsidR="00FE121C" w:rsidRPr="00FE121C" w:rsidRDefault="00FE121C" w:rsidP="00FE121C">
            <w:pPr>
              <w:widowControl w:val="0"/>
              <w:autoSpaceDE w:val="0"/>
              <w:autoSpaceDN w:val="0"/>
              <w:adjustRightInd w:val="0"/>
              <w:spacing w:after="160" w:line="360" w:lineRule="auto"/>
              <w:ind w:right="22"/>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val="bg-BG"/>
              </w:rPr>
            </w:pPr>
            <w:r w:rsidRPr="00FE121C">
              <w:rPr>
                <w:rFonts w:ascii="Times New Roman" w:eastAsia="Calibri" w:hAnsi="Times New Roman" w:cs="Times New Roman"/>
                <w:sz w:val="24"/>
                <w:szCs w:val="24"/>
                <w:lang w:val="bg-BG"/>
              </w:rPr>
              <w:t>34%</w:t>
            </w:r>
          </w:p>
        </w:tc>
      </w:tr>
      <w:tr w:rsidR="00FE121C" w:rsidRPr="00FE121C" w:rsidTr="00376DD3">
        <w:tc>
          <w:tcPr>
            <w:cnfStyle w:val="001000000000" w:firstRow="0" w:lastRow="0" w:firstColumn="1" w:lastColumn="0" w:oddVBand="0" w:evenVBand="0" w:oddHBand="0" w:evenHBand="0" w:firstRowFirstColumn="0" w:firstRowLastColumn="0" w:lastRowFirstColumn="0" w:lastRowLastColumn="0"/>
            <w:tcW w:w="3119" w:type="dxa"/>
          </w:tcPr>
          <w:p w:rsidR="00FE121C" w:rsidRPr="00FE121C" w:rsidRDefault="00FE121C" w:rsidP="00FE121C">
            <w:pPr>
              <w:widowControl w:val="0"/>
              <w:autoSpaceDE w:val="0"/>
              <w:autoSpaceDN w:val="0"/>
              <w:adjustRightInd w:val="0"/>
              <w:spacing w:after="160" w:line="360" w:lineRule="auto"/>
              <w:ind w:right="22"/>
              <w:jc w:val="both"/>
              <w:rPr>
                <w:rFonts w:ascii="Times New Roman" w:eastAsia="Calibri" w:hAnsi="Times New Roman" w:cs="Times New Roman"/>
                <w:sz w:val="24"/>
                <w:szCs w:val="24"/>
                <w:lang w:val="bg-BG"/>
              </w:rPr>
            </w:pPr>
            <w:r w:rsidRPr="00FE121C">
              <w:rPr>
                <w:rFonts w:ascii="Times New Roman" w:eastAsia="Calibri" w:hAnsi="Times New Roman" w:cs="Times New Roman"/>
                <w:sz w:val="24"/>
                <w:szCs w:val="24"/>
                <w:lang w:val="bg-BG"/>
              </w:rPr>
              <w:t xml:space="preserve">Южен централен </w:t>
            </w:r>
          </w:p>
        </w:tc>
        <w:tc>
          <w:tcPr>
            <w:tcW w:w="2551" w:type="dxa"/>
          </w:tcPr>
          <w:p w:rsidR="00FE121C" w:rsidRPr="00FE121C" w:rsidRDefault="00FE121C" w:rsidP="00FE121C">
            <w:pPr>
              <w:widowControl w:val="0"/>
              <w:autoSpaceDE w:val="0"/>
              <w:autoSpaceDN w:val="0"/>
              <w:adjustRightInd w:val="0"/>
              <w:spacing w:after="160" w:line="360" w:lineRule="auto"/>
              <w:ind w:right="22"/>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bg-BG"/>
              </w:rPr>
            </w:pPr>
            <w:r w:rsidRPr="00FE121C">
              <w:rPr>
                <w:rFonts w:ascii="Times New Roman" w:eastAsia="Calibri" w:hAnsi="Times New Roman" w:cs="Times New Roman"/>
                <w:sz w:val="24"/>
                <w:szCs w:val="24"/>
                <w:lang w:val="bg-BG"/>
              </w:rPr>
              <w:t>45 %</w:t>
            </w:r>
          </w:p>
        </w:tc>
        <w:tc>
          <w:tcPr>
            <w:tcW w:w="2410" w:type="dxa"/>
          </w:tcPr>
          <w:p w:rsidR="00FE121C" w:rsidRPr="00FE121C" w:rsidRDefault="00FE121C" w:rsidP="00FE121C">
            <w:pPr>
              <w:widowControl w:val="0"/>
              <w:autoSpaceDE w:val="0"/>
              <w:autoSpaceDN w:val="0"/>
              <w:adjustRightInd w:val="0"/>
              <w:spacing w:after="160" w:line="360" w:lineRule="auto"/>
              <w:ind w:right="22"/>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val="bg-BG"/>
              </w:rPr>
            </w:pPr>
            <w:r w:rsidRPr="00FE121C">
              <w:rPr>
                <w:rFonts w:ascii="Times New Roman" w:eastAsia="Calibri" w:hAnsi="Times New Roman" w:cs="Times New Roman"/>
                <w:sz w:val="24"/>
                <w:szCs w:val="24"/>
                <w:lang w:val="bg-BG"/>
              </w:rPr>
              <w:t>32 %</w:t>
            </w:r>
          </w:p>
        </w:tc>
      </w:tr>
    </w:tbl>
    <w:p w:rsidR="00FE121C" w:rsidRPr="00FE121C" w:rsidRDefault="00FE121C" w:rsidP="00FE121C">
      <w:pPr>
        <w:widowControl w:val="0"/>
        <w:autoSpaceDE w:val="0"/>
        <w:autoSpaceDN w:val="0"/>
        <w:adjustRightInd w:val="0"/>
        <w:spacing w:after="0" w:line="360" w:lineRule="auto"/>
        <w:ind w:right="22" w:firstLine="708"/>
        <w:contextualSpacing/>
        <w:rPr>
          <w:rFonts w:ascii="Times New Roman" w:eastAsia="Times New Roman" w:hAnsi="Times New Roman" w:cs="Times New Roman"/>
          <w:i/>
          <w:sz w:val="20"/>
          <w:szCs w:val="20"/>
          <w:lang w:eastAsia="bg-BG"/>
        </w:rPr>
      </w:pPr>
      <w:r w:rsidRPr="00FE121C">
        <w:rPr>
          <w:rFonts w:ascii="Times New Roman" w:eastAsia="Times New Roman" w:hAnsi="Times New Roman" w:cs="Times New Roman"/>
          <w:i/>
          <w:sz w:val="20"/>
          <w:szCs w:val="20"/>
          <w:lang w:eastAsia="bg-BG"/>
        </w:rPr>
        <w:t>Източник: Евростат годишник 2016 г.</w:t>
      </w:r>
      <w:r w:rsidRPr="00FE121C">
        <w:rPr>
          <w:rFonts w:ascii="Times New Roman" w:eastAsia="Times New Roman" w:hAnsi="Times New Roman" w:cs="Times New Roman"/>
          <w:i/>
          <w:sz w:val="20"/>
          <w:szCs w:val="20"/>
          <w:lang w:eastAsia="bg-BG"/>
        </w:rPr>
        <w:tab/>
      </w:r>
    </w:p>
    <w:p w:rsidR="00FE121C" w:rsidRPr="00FE121C" w:rsidRDefault="00FE121C" w:rsidP="00FE121C">
      <w:pPr>
        <w:spacing w:after="0" w:line="360" w:lineRule="auto"/>
        <w:ind w:firstLine="708"/>
        <w:jc w:val="both"/>
        <w:rPr>
          <w:rFonts w:ascii="Times New Roman" w:eastAsia="Calibri" w:hAnsi="Times New Roman" w:cs="Times New Roman"/>
          <w:sz w:val="24"/>
          <w:szCs w:val="24"/>
          <w:lang w:eastAsia="bg-BG"/>
        </w:rPr>
      </w:pPr>
    </w:p>
    <w:p w:rsidR="00FE121C" w:rsidRPr="00FE121C" w:rsidRDefault="00FE121C" w:rsidP="00FE121C">
      <w:pPr>
        <w:spacing w:after="0" w:line="360" w:lineRule="auto"/>
        <w:ind w:firstLine="708"/>
        <w:jc w:val="both"/>
        <w:rPr>
          <w:rFonts w:ascii="Times New Roman" w:eastAsia="Calibri" w:hAnsi="Times New Roman" w:cs="Times New Roman"/>
          <w:sz w:val="24"/>
          <w:szCs w:val="24"/>
          <w:lang w:eastAsia="bg-BG"/>
        </w:rPr>
      </w:pPr>
      <w:r w:rsidRPr="00FE121C">
        <w:rPr>
          <w:rFonts w:ascii="Times New Roman" w:eastAsia="Calibri" w:hAnsi="Times New Roman" w:cs="Times New Roman"/>
          <w:sz w:val="24"/>
          <w:szCs w:val="24"/>
          <w:lang w:eastAsia="bg-BG"/>
        </w:rPr>
        <w:t>Достигнатите нива на дял на БВП по райони от средния за районите в ЕС показва, че темповете на икономическо развитие и растеж са ниски в 5 от районите от ниво 2  и не допринасят за намаляване на изоставането в икономическото развитие.</w:t>
      </w:r>
    </w:p>
    <w:p w:rsidR="00FE121C" w:rsidRPr="00FE121C" w:rsidRDefault="00FE121C" w:rsidP="00FE121C">
      <w:pPr>
        <w:spacing w:after="0" w:line="360" w:lineRule="auto"/>
        <w:ind w:firstLine="708"/>
        <w:jc w:val="both"/>
        <w:rPr>
          <w:rFonts w:ascii="Times New Roman" w:eastAsia="Calibri" w:hAnsi="Times New Roman" w:cs="Times New Roman"/>
          <w:sz w:val="24"/>
          <w:szCs w:val="24"/>
          <w:lang w:eastAsia="bg-BG"/>
        </w:rPr>
      </w:pPr>
      <w:r w:rsidRPr="00FE121C">
        <w:rPr>
          <w:rFonts w:ascii="Times New Roman" w:eastAsia="Calibri" w:hAnsi="Times New Roman" w:cs="Times New Roman"/>
          <w:sz w:val="24"/>
          <w:szCs w:val="24"/>
          <w:lang w:eastAsia="bg-BG"/>
        </w:rPr>
        <w:t>В периода на изпълнение на НСРР 2005-2015 г. успешно са  приключили 4 проекта за създаване на високотехнологични центрове за изследвания, трансфер на технологии и иновации. В рамките на анализирания период, на територията на страната е създаден еди</w:t>
      </w:r>
      <w:r w:rsidR="000B3B22">
        <w:rPr>
          <w:rFonts w:ascii="Times New Roman" w:eastAsia="Calibri" w:hAnsi="Times New Roman" w:cs="Times New Roman"/>
          <w:sz w:val="24"/>
          <w:szCs w:val="24"/>
          <w:lang w:eastAsia="bg-BG"/>
        </w:rPr>
        <w:t>н технопарк – София Тех Парк – „Научно-технологичен парк“</w:t>
      </w:r>
      <w:r w:rsidRPr="00FE121C">
        <w:rPr>
          <w:rFonts w:ascii="Times New Roman" w:eastAsia="Calibri" w:hAnsi="Times New Roman" w:cs="Times New Roman"/>
          <w:sz w:val="24"/>
          <w:szCs w:val="24"/>
          <w:lang w:eastAsia="bg-BG"/>
        </w:rPr>
        <w:t>, но към момента тези инвестиции все още не са оказали влияние върху икономиката на районите. Очакваното позитивно въздействие е в дългосрочен план и е свързано с привличане на инвеститори, развитие на нови технологии и иновации и повишаване конкурентоспособността на предприятията, опериращи в технологичния парк.</w:t>
      </w:r>
      <w:r w:rsidRPr="00FE121C">
        <w:rPr>
          <w:rFonts w:ascii="Times New Roman" w:eastAsia="Calibri" w:hAnsi="Times New Roman" w:cs="Times New Roman"/>
          <w:sz w:val="24"/>
          <w:szCs w:val="24"/>
          <w:lang w:val="en-US" w:eastAsia="bg-BG"/>
        </w:rPr>
        <w:t xml:space="preserve"> </w:t>
      </w:r>
      <w:r w:rsidRPr="00FE121C">
        <w:rPr>
          <w:rFonts w:ascii="Times New Roman" w:eastAsia="Calibri" w:hAnsi="Times New Roman" w:cs="Times New Roman"/>
          <w:sz w:val="24"/>
          <w:szCs w:val="24"/>
          <w:lang w:eastAsia="bg-BG"/>
        </w:rPr>
        <w:t>Към момента на изготвяне на оценката, посочените проекти все още не са дали значими резултати, но следва да се разглеждат като бъдещ потенциал.</w:t>
      </w:r>
    </w:p>
    <w:p w:rsidR="00FE121C" w:rsidRPr="00FE121C" w:rsidRDefault="00FE121C" w:rsidP="00FE121C">
      <w:pPr>
        <w:spacing w:after="0" w:line="360" w:lineRule="auto"/>
        <w:ind w:firstLine="708"/>
        <w:jc w:val="both"/>
        <w:rPr>
          <w:rFonts w:ascii="Times New Roman" w:eastAsia="Calibri" w:hAnsi="Times New Roman" w:cs="Times New Roman"/>
          <w:sz w:val="24"/>
          <w:szCs w:val="24"/>
          <w:lang w:eastAsia="bg-BG"/>
        </w:rPr>
      </w:pPr>
      <w:r w:rsidRPr="00FE121C">
        <w:rPr>
          <w:rFonts w:ascii="Times New Roman" w:eastAsia="Calibri" w:hAnsi="Times New Roman" w:cs="Times New Roman"/>
          <w:sz w:val="24"/>
          <w:szCs w:val="24"/>
          <w:lang w:eastAsia="bg-BG"/>
        </w:rPr>
        <w:lastRenderedPageBreak/>
        <w:t xml:space="preserve">Заетите научно-изследователски кадри са нараснали значително, за периода 2005-2014 г. За този период се наблюдава повишение на персонала, зает с </w:t>
      </w:r>
      <w:r w:rsidR="000E59C3">
        <w:rPr>
          <w:rFonts w:ascii="Times New Roman" w:eastAsia="Calibri" w:hAnsi="Times New Roman" w:cs="Times New Roman"/>
          <w:sz w:val="24"/>
          <w:szCs w:val="24"/>
          <w:lang w:eastAsia="bg-BG"/>
        </w:rPr>
        <w:t>н</w:t>
      </w:r>
      <w:r w:rsidR="008F0508" w:rsidRPr="008F0508">
        <w:rPr>
          <w:rFonts w:ascii="Times New Roman" w:eastAsia="Calibri" w:hAnsi="Times New Roman" w:cs="Times New Roman"/>
          <w:sz w:val="24"/>
          <w:szCs w:val="24"/>
          <w:lang w:eastAsia="bg-BG"/>
        </w:rPr>
        <w:t xml:space="preserve">аучноизследователска и развойна дейност </w:t>
      </w:r>
      <w:r w:rsidR="008F0508">
        <w:rPr>
          <w:rFonts w:ascii="Times New Roman" w:eastAsia="Calibri" w:hAnsi="Times New Roman" w:cs="Times New Roman"/>
          <w:sz w:val="24"/>
          <w:szCs w:val="24"/>
          <w:lang w:eastAsia="bg-BG"/>
        </w:rPr>
        <w:t>(</w:t>
      </w:r>
      <w:r w:rsidRPr="00FE121C">
        <w:rPr>
          <w:rFonts w:ascii="Times New Roman" w:eastAsia="Calibri" w:hAnsi="Times New Roman" w:cs="Times New Roman"/>
          <w:sz w:val="24"/>
          <w:szCs w:val="24"/>
          <w:lang w:eastAsia="bg-BG"/>
        </w:rPr>
        <w:t>НИРД</w:t>
      </w:r>
      <w:r w:rsidR="008F0508">
        <w:rPr>
          <w:rFonts w:ascii="Times New Roman" w:eastAsia="Calibri" w:hAnsi="Times New Roman" w:cs="Times New Roman"/>
          <w:sz w:val="24"/>
          <w:szCs w:val="24"/>
          <w:lang w:eastAsia="bg-BG"/>
        </w:rPr>
        <w:t>)</w:t>
      </w:r>
      <w:r w:rsidRPr="00FE121C">
        <w:rPr>
          <w:rFonts w:ascii="Times New Roman" w:eastAsia="Calibri" w:hAnsi="Times New Roman" w:cs="Times New Roman"/>
          <w:sz w:val="24"/>
          <w:szCs w:val="24"/>
          <w:lang w:eastAsia="bg-BG"/>
        </w:rPr>
        <w:t>, с 36,7%, което е обнадеждаващо по отношение иновациите и технологичното обновление в следващите години.</w:t>
      </w:r>
    </w:p>
    <w:p w:rsidR="00FE121C" w:rsidRPr="00FE121C" w:rsidRDefault="00FE121C" w:rsidP="00FE121C">
      <w:pPr>
        <w:spacing w:after="0" w:line="360" w:lineRule="auto"/>
        <w:ind w:firstLine="708"/>
        <w:jc w:val="both"/>
        <w:rPr>
          <w:rFonts w:ascii="Times New Roman" w:eastAsia="Calibri" w:hAnsi="Times New Roman" w:cs="Times New Roman"/>
          <w:b/>
          <w:sz w:val="24"/>
          <w:szCs w:val="24"/>
          <w:lang w:eastAsia="bg-BG"/>
        </w:rPr>
      </w:pPr>
      <w:r w:rsidRPr="00FE121C">
        <w:rPr>
          <w:rFonts w:ascii="Times New Roman" w:eastAsia="Calibri" w:hAnsi="Times New Roman" w:cs="Times New Roman"/>
          <w:b/>
          <w:sz w:val="24"/>
          <w:szCs w:val="24"/>
          <w:lang w:eastAsia="bg-BG"/>
        </w:rPr>
        <w:t xml:space="preserve">Таблица 2. Заети в областта на науката и технологиите към 2015 г. в % от </w:t>
      </w:r>
    </w:p>
    <w:p w:rsidR="00FE121C" w:rsidRPr="00FE121C" w:rsidRDefault="00FE121C" w:rsidP="00FE121C">
      <w:pPr>
        <w:spacing w:after="0" w:line="360" w:lineRule="auto"/>
        <w:ind w:firstLine="708"/>
        <w:jc w:val="both"/>
        <w:rPr>
          <w:rFonts w:ascii="Times New Roman" w:eastAsia="Calibri" w:hAnsi="Times New Roman" w:cs="Times New Roman"/>
          <w:b/>
          <w:sz w:val="24"/>
          <w:szCs w:val="24"/>
          <w:lang w:eastAsia="bg-BG"/>
        </w:rPr>
      </w:pPr>
      <w:r w:rsidRPr="00FE121C">
        <w:rPr>
          <w:rFonts w:ascii="Times New Roman" w:eastAsia="Calibri" w:hAnsi="Times New Roman" w:cs="Times New Roman"/>
          <w:b/>
          <w:sz w:val="24"/>
          <w:szCs w:val="24"/>
          <w:lang w:eastAsia="bg-BG"/>
        </w:rPr>
        <w:t xml:space="preserve"> трудовоактивното население</w:t>
      </w:r>
    </w:p>
    <w:p w:rsidR="00FE121C" w:rsidRPr="00FE121C" w:rsidRDefault="00FE121C" w:rsidP="00FE121C">
      <w:pPr>
        <w:spacing w:after="0" w:line="360" w:lineRule="auto"/>
        <w:ind w:firstLine="708"/>
        <w:jc w:val="both"/>
        <w:rPr>
          <w:rFonts w:ascii="Times New Roman" w:eastAsia="Calibri" w:hAnsi="Times New Roman" w:cs="Times New Roman"/>
          <w:b/>
          <w:sz w:val="24"/>
          <w:szCs w:val="24"/>
          <w:lang w:eastAsia="bg-BG"/>
        </w:rPr>
      </w:pPr>
    </w:p>
    <w:tbl>
      <w:tblPr>
        <w:tblStyle w:val="TableGrid3"/>
        <w:tblW w:w="0" w:type="auto"/>
        <w:tblInd w:w="1384" w:type="dxa"/>
        <w:tblLook w:val="04A0" w:firstRow="1" w:lastRow="0" w:firstColumn="1" w:lastColumn="0" w:noHBand="0" w:noVBand="1"/>
      </w:tblPr>
      <w:tblGrid>
        <w:gridCol w:w="2693"/>
        <w:gridCol w:w="993"/>
        <w:gridCol w:w="1066"/>
        <w:gridCol w:w="1276"/>
      </w:tblGrid>
      <w:tr w:rsidR="00FE121C" w:rsidRPr="00FE121C" w:rsidTr="00FE121C">
        <w:trPr>
          <w:trHeight w:val="889"/>
        </w:trPr>
        <w:tc>
          <w:tcPr>
            <w:tcW w:w="2693" w:type="dxa"/>
            <w:shd w:val="clear" w:color="auto" w:fill="5B9BD5" w:themeFill="accent1"/>
          </w:tcPr>
          <w:p w:rsidR="00FE121C" w:rsidRPr="00FE121C" w:rsidRDefault="00FE121C" w:rsidP="00FE121C">
            <w:pPr>
              <w:spacing w:line="360" w:lineRule="auto"/>
              <w:jc w:val="center"/>
              <w:rPr>
                <w:rFonts w:ascii="Times New Roman" w:eastAsia="Calibri" w:hAnsi="Times New Roman" w:cs="Times New Roman"/>
                <w:b/>
                <w:color w:val="FFFFFF"/>
                <w:sz w:val="24"/>
                <w:szCs w:val="24"/>
                <w:lang w:eastAsia="bg-BG"/>
              </w:rPr>
            </w:pPr>
            <w:r w:rsidRPr="00FE121C">
              <w:rPr>
                <w:rFonts w:ascii="Times New Roman" w:eastAsia="Calibri" w:hAnsi="Times New Roman" w:cs="Times New Roman"/>
                <w:b/>
                <w:color w:val="FFFFFF"/>
                <w:sz w:val="24"/>
                <w:szCs w:val="24"/>
                <w:lang w:eastAsia="bg-BG"/>
              </w:rPr>
              <w:t>Район</w:t>
            </w:r>
          </w:p>
        </w:tc>
        <w:tc>
          <w:tcPr>
            <w:tcW w:w="993" w:type="dxa"/>
            <w:shd w:val="clear" w:color="auto" w:fill="5B9BD5" w:themeFill="accent1"/>
          </w:tcPr>
          <w:p w:rsidR="00FE121C" w:rsidRPr="00FE121C" w:rsidRDefault="00FE121C" w:rsidP="00FE121C">
            <w:pPr>
              <w:spacing w:line="360" w:lineRule="auto"/>
              <w:jc w:val="center"/>
              <w:rPr>
                <w:rFonts w:ascii="Times New Roman" w:eastAsia="Calibri" w:hAnsi="Times New Roman" w:cs="Times New Roman"/>
                <w:b/>
                <w:color w:val="FFFFFF"/>
                <w:sz w:val="24"/>
                <w:szCs w:val="24"/>
                <w:lang w:eastAsia="bg-BG"/>
              </w:rPr>
            </w:pPr>
            <w:r w:rsidRPr="00FE121C">
              <w:rPr>
                <w:rFonts w:ascii="Times New Roman" w:eastAsia="Calibri" w:hAnsi="Times New Roman" w:cs="Times New Roman"/>
                <w:b/>
                <w:color w:val="FFFFFF"/>
                <w:sz w:val="24"/>
                <w:szCs w:val="24"/>
                <w:lang w:eastAsia="bg-BG"/>
              </w:rPr>
              <w:t>2005 г.</w:t>
            </w:r>
          </w:p>
        </w:tc>
        <w:tc>
          <w:tcPr>
            <w:tcW w:w="1066" w:type="dxa"/>
            <w:shd w:val="clear" w:color="auto" w:fill="5B9BD5" w:themeFill="accent1"/>
          </w:tcPr>
          <w:p w:rsidR="00FE121C" w:rsidRPr="00FE121C" w:rsidRDefault="00FE121C" w:rsidP="00FE121C">
            <w:pPr>
              <w:spacing w:line="360" w:lineRule="auto"/>
              <w:jc w:val="center"/>
              <w:rPr>
                <w:rFonts w:ascii="Times New Roman" w:eastAsia="Calibri" w:hAnsi="Times New Roman" w:cs="Times New Roman"/>
                <w:b/>
                <w:color w:val="FFFFFF"/>
                <w:sz w:val="24"/>
                <w:szCs w:val="24"/>
                <w:lang w:eastAsia="bg-BG"/>
              </w:rPr>
            </w:pPr>
            <w:r w:rsidRPr="00FE121C">
              <w:rPr>
                <w:rFonts w:ascii="Times New Roman" w:eastAsia="Calibri" w:hAnsi="Times New Roman" w:cs="Times New Roman"/>
                <w:b/>
                <w:color w:val="FFFFFF"/>
                <w:sz w:val="24"/>
                <w:szCs w:val="24"/>
                <w:lang w:eastAsia="bg-BG"/>
              </w:rPr>
              <w:t>2015 г.</w:t>
            </w:r>
          </w:p>
        </w:tc>
        <w:tc>
          <w:tcPr>
            <w:tcW w:w="1276" w:type="dxa"/>
            <w:shd w:val="clear" w:color="auto" w:fill="5B9BD5" w:themeFill="accent1"/>
          </w:tcPr>
          <w:p w:rsidR="00FE121C" w:rsidRPr="00FE121C" w:rsidRDefault="00FE121C" w:rsidP="00FE121C">
            <w:pPr>
              <w:spacing w:line="360" w:lineRule="auto"/>
              <w:jc w:val="center"/>
              <w:rPr>
                <w:rFonts w:ascii="Times New Roman" w:eastAsia="Calibri" w:hAnsi="Times New Roman" w:cs="Times New Roman"/>
                <w:b/>
                <w:color w:val="FFFFFF"/>
                <w:sz w:val="24"/>
                <w:szCs w:val="24"/>
                <w:lang w:eastAsia="bg-BG"/>
              </w:rPr>
            </w:pPr>
            <w:r w:rsidRPr="00FE121C">
              <w:rPr>
                <w:rFonts w:ascii="Times New Roman" w:eastAsia="Calibri" w:hAnsi="Times New Roman" w:cs="Times New Roman"/>
                <w:b/>
                <w:color w:val="FFFFFF"/>
                <w:sz w:val="24"/>
                <w:szCs w:val="24"/>
                <w:lang w:eastAsia="bg-BG"/>
              </w:rPr>
              <w:t>Промяна (в %)</w:t>
            </w:r>
          </w:p>
        </w:tc>
      </w:tr>
      <w:tr w:rsidR="00FE121C" w:rsidRPr="00FE121C" w:rsidTr="00FE121C">
        <w:tc>
          <w:tcPr>
            <w:tcW w:w="2693" w:type="dxa"/>
          </w:tcPr>
          <w:p w:rsidR="00FE121C" w:rsidRPr="00FE121C" w:rsidRDefault="00FE121C" w:rsidP="00FE121C">
            <w:pPr>
              <w:spacing w:line="360" w:lineRule="auto"/>
              <w:jc w:val="both"/>
              <w:rPr>
                <w:rFonts w:ascii="Times New Roman" w:eastAsia="Calibri" w:hAnsi="Times New Roman" w:cs="Times New Roman"/>
                <w:b/>
                <w:sz w:val="24"/>
                <w:szCs w:val="24"/>
                <w:lang w:eastAsia="bg-BG"/>
              </w:rPr>
            </w:pPr>
            <w:r w:rsidRPr="00FE121C">
              <w:rPr>
                <w:rFonts w:ascii="Times New Roman" w:eastAsia="Calibri" w:hAnsi="Times New Roman" w:cs="Times New Roman"/>
                <w:b/>
                <w:sz w:val="24"/>
                <w:szCs w:val="24"/>
                <w:lang w:eastAsia="bg-BG"/>
              </w:rPr>
              <w:t>Северозападен</w:t>
            </w:r>
          </w:p>
        </w:tc>
        <w:tc>
          <w:tcPr>
            <w:tcW w:w="993" w:type="dxa"/>
          </w:tcPr>
          <w:p w:rsidR="00FE121C" w:rsidRPr="00FE121C" w:rsidRDefault="00FE121C" w:rsidP="00FE121C">
            <w:pPr>
              <w:spacing w:line="360" w:lineRule="auto"/>
              <w:jc w:val="both"/>
              <w:rPr>
                <w:rFonts w:ascii="Times New Roman" w:eastAsia="Calibri" w:hAnsi="Times New Roman" w:cs="Times New Roman"/>
                <w:sz w:val="24"/>
                <w:szCs w:val="24"/>
                <w:lang w:eastAsia="bg-BG"/>
              </w:rPr>
            </w:pPr>
            <w:r w:rsidRPr="00FE121C">
              <w:rPr>
                <w:rFonts w:ascii="Times New Roman" w:eastAsia="Calibri" w:hAnsi="Times New Roman" w:cs="Times New Roman"/>
                <w:sz w:val="24"/>
                <w:szCs w:val="24"/>
                <w:lang w:eastAsia="bg-BG"/>
              </w:rPr>
              <w:t>26,8%</w:t>
            </w:r>
          </w:p>
        </w:tc>
        <w:tc>
          <w:tcPr>
            <w:tcW w:w="1066" w:type="dxa"/>
          </w:tcPr>
          <w:p w:rsidR="00FE121C" w:rsidRPr="00FE121C" w:rsidRDefault="00FE121C" w:rsidP="00FE121C">
            <w:pPr>
              <w:spacing w:line="360" w:lineRule="auto"/>
              <w:jc w:val="both"/>
              <w:rPr>
                <w:rFonts w:ascii="Times New Roman" w:eastAsia="Calibri" w:hAnsi="Times New Roman" w:cs="Times New Roman"/>
                <w:sz w:val="24"/>
                <w:szCs w:val="24"/>
                <w:lang w:eastAsia="bg-BG"/>
              </w:rPr>
            </w:pPr>
            <w:r w:rsidRPr="00FE121C">
              <w:rPr>
                <w:rFonts w:ascii="Times New Roman" w:eastAsia="Calibri" w:hAnsi="Times New Roman" w:cs="Times New Roman"/>
                <w:sz w:val="24"/>
                <w:szCs w:val="24"/>
                <w:lang w:eastAsia="bg-BG"/>
              </w:rPr>
              <w:t>31,5%</w:t>
            </w:r>
          </w:p>
        </w:tc>
        <w:tc>
          <w:tcPr>
            <w:tcW w:w="1276" w:type="dxa"/>
          </w:tcPr>
          <w:p w:rsidR="00FE121C" w:rsidRPr="00FE121C" w:rsidRDefault="00FE121C" w:rsidP="00FE121C">
            <w:pPr>
              <w:spacing w:line="360" w:lineRule="auto"/>
              <w:jc w:val="both"/>
              <w:rPr>
                <w:rFonts w:ascii="Times New Roman" w:eastAsia="Calibri" w:hAnsi="Times New Roman" w:cs="Times New Roman"/>
                <w:sz w:val="24"/>
                <w:szCs w:val="24"/>
                <w:lang w:eastAsia="bg-BG"/>
              </w:rPr>
            </w:pPr>
            <w:r w:rsidRPr="00FE121C">
              <w:rPr>
                <w:rFonts w:ascii="Times New Roman" w:eastAsia="Calibri" w:hAnsi="Times New Roman" w:cs="Times New Roman"/>
                <w:sz w:val="24"/>
                <w:szCs w:val="24"/>
                <w:lang w:eastAsia="bg-BG"/>
              </w:rPr>
              <w:t>4,7%</w:t>
            </w:r>
          </w:p>
        </w:tc>
      </w:tr>
      <w:tr w:rsidR="00FE121C" w:rsidRPr="00FE121C" w:rsidTr="00FE121C">
        <w:tc>
          <w:tcPr>
            <w:tcW w:w="2693" w:type="dxa"/>
          </w:tcPr>
          <w:p w:rsidR="00FE121C" w:rsidRPr="00FE121C" w:rsidRDefault="00FE121C" w:rsidP="00FE121C">
            <w:pPr>
              <w:spacing w:line="360" w:lineRule="auto"/>
              <w:jc w:val="both"/>
              <w:rPr>
                <w:rFonts w:ascii="Times New Roman" w:eastAsia="Calibri" w:hAnsi="Times New Roman" w:cs="Times New Roman"/>
                <w:b/>
                <w:sz w:val="24"/>
                <w:szCs w:val="24"/>
                <w:lang w:eastAsia="bg-BG"/>
              </w:rPr>
            </w:pPr>
            <w:r w:rsidRPr="00FE121C">
              <w:rPr>
                <w:rFonts w:ascii="Times New Roman" w:eastAsia="Calibri" w:hAnsi="Times New Roman" w:cs="Times New Roman"/>
                <w:b/>
                <w:sz w:val="24"/>
                <w:szCs w:val="24"/>
                <w:lang w:eastAsia="bg-BG"/>
              </w:rPr>
              <w:t>Северен централен</w:t>
            </w:r>
          </w:p>
        </w:tc>
        <w:tc>
          <w:tcPr>
            <w:tcW w:w="993" w:type="dxa"/>
          </w:tcPr>
          <w:p w:rsidR="00FE121C" w:rsidRPr="00FE121C" w:rsidRDefault="00FE121C" w:rsidP="00FE121C">
            <w:pPr>
              <w:spacing w:line="360" w:lineRule="auto"/>
              <w:jc w:val="both"/>
              <w:rPr>
                <w:rFonts w:ascii="Times New Roman" w:eastAsia="Calibri" w:hAnsi="Times New Roman" w:cs="Times New Roman"/>
                <w:sz w:val="24"/>
                <w:szCs w:val="24"/>
                <w:lang w:eastAsia="bg-BG"/>
              </w:rPr>
            </w:pPr>
            <w:r w:rsidRPr="00FE121C">
              <w:rPr>
                <w:rFonts w:ascii="Times New Roman" w:eastAsia="Calibri" w:hAnsi="Times New Roman" w:cs="Times New Roman"/>
                <w:sz w:val="24"/>
                <w:szCs w:val="24"/>
                <w:lang w:eastAsia="bg-BG"/>
              </w:rPr>
              <w:t>28,2%</w:t>
            </w:r>
          </w:p>
        </w:tc>
        <w:tc>
          <w:tcPr>
            <w:tcW w:w="1066" w:type="dxa"/>
          </w:tcPr>
          <w:p w:rsidR="00FE121C" w:rsidRPr="00FE121C" w:rsidRDefault="00FE121C" w:rsidP="00FE121C">
            <w:pPr>
              <w:spacing w:line="360" w:lineRule="auto"/>
              <w:jc w:val="both"/>
              <w:rPr>
                <w:rFonts w:ascii="Times New Roman" w:eastAsia="Calibri" w:hAnsi="Times New Roman" w:cs="Times New Roman"/>
                <w:sz w:val="24"/>
                <w:szCs w:val="24"/>
                <w:lang w:eastAsia="bg-BG"/>
              </w:rPr>
            </w:pPr>
            <w:r w:rsidRPr="00FE121C">
              <w:rPr>
                <w:rFonts w:ascii="Times New Roman" w:eastAsia="Calibri" w:hAnsi="Times New Roman" w:cs="Times New Roman"/>
                <w:sz w:val="24"/>
                <w:szCs w:val="24"/>
                <w:lang w:eastAsia="bg-BG"/>
              </w:rPr>
              <w:t>30,4%</w:t>
            </w:r>
          </w:p>
        </w:tc>
        <w:tc>
          <w:tcPr>
            <w:tcW w:w="1276" w:type="dxa"/>
          </w:tcPr>
          <w:p w:rsidR="00FE121C" w:rsidRPr="00FE121C" w:rsidRDefault="00FE121C" w:rsidP="00FE121C">
            <w:pPr>
              <w:spacing w:line="360" w:lineRule="auto"/>
              <w:jc w:val="both"/>
              <w:rPr>
                <w:rFonts w:ascii="Times New Roman" w:eastAsia="Calibri" w:hAnsi="Times New Roman" w:cs="Times New Roman"/>
                <w:sz w:val="24"/>
                <w:szCs w:val="24"/>
                <w:lang w:eastAsia="bg-BG"/>
              </w:rPr>
            </w:pPr>
            <w:r w:rsidRPr="00FE121C">
              <w:rPr>
                <w:rFonts w:ascii="Times New Roman" w:eastAsia="Calibri" w:hAnsi="Times New Roman" w:cs="Times New Roman"/>
                <w:sz w:val="24"/>
                <w:szCs w:val="24"/>
                <w:lang w:eastAsia="bg-BG"/>
              </w:rPr>
              <w:t>2,2%</w:t>
            </w:r>
          </w:p>
        </w:tc>
      </w:tr>
      <w:tr w:rsidR="00FE121C" w:rsidRPr="00FE121C" w:rsidTr="00FE121C">
        <w:tc>
          <w:tcPr>
            <w:tcW w:w="2693" w:type="dxa"/>
          </w:tcPr>
          <w:p w:rsidR="00FE121C" w:rsidRPr="00FE121C" w:rsidRDefault="00FE121C" w:rsidP="00FE121C">
            <w:pPr>
              <w:spacing w:line="360" w:lineRule="auto"/>
              <w:jc w:val="both"/>
              <w:rPr>
                <w:rFonts w:ascii="Times New Roman" w:eastAsia="Calibri" w:hAnsi="Times New Roman" w:cs="Times New Roman"/>
                <w:b/>
                <w:sz w:val="24"/>
                <w:szCs w:val="24"/>
                <w:lang w:eastAsia="bg-BG"/>
              </w:rPr>
            </w:pPr>
            <w:r w:rsidRPr="00FE121C">
              <w:rPr>
                <w:rFonts w:ascii="Times New Roman" w:eastAsia="Calibri" w:hAnsi="Times New Roman" w:cs="Times New Roman"/>
                <w:b/>
                <w:sz w:val="24"/>
                <w:szCs w:val="24"/>
                <w:lang w:eastAsia="bg-BG"/>
              </w:rPr>
              <w:t>Североизточен</w:t>
            </w:r>
          </w:p>
        </w:tc>
        <w:tc>
          <w:tcPr>
            <w:tcW w:w="993" w:type="dxa"/>
          </w:tcPr>
          <w:p w:rsidR="00FE121C" w:rsidRPr="00FE121C" w:rsidRDefault="00FE121C" w:rsidP="00FE121C">
            <w:pPr>
              <w:spacing w:line="360" w:lineRule="auto"/>
              <w:jc w:val="both"/>
              <w:rPr>
                <w:rFonts w:ascii="Times New Roman" w:eastAsia="Calibri" w:hAnsi="Times New Roman" w:cs="Times New Roman"/>
                <w:sz w:val="24"/>
                <w:szCs w:val="24"/>
                <w:lang w:eastAsia="bg-BG"/>
              </w:rPr>
            </w:pPr>
            <w:r w:rsidRPr="00FE121C">
              <w:rPr>
                <w:rFonts w:ascii="Times New Roman" w:eastAsia="Calibri" w:hAnsi="Times New Roman" w:cs="Times New Roman"/>
                <w:sz w:val="24"/>
                <w:szCs w:val="24"/>
                <w:lang w:eastAsia="bg-BG"/>
              </w:rPr>
              <w:t>25,8%</w:t>
            </w:r>
          </w:p>
        </w:tc>
        <w:tc>
          <w:tcPr>
            <w:tcW w:w="1066" w:type="dxa"/>
          </w:tcPr>
          <w:p w:rsidR="00FE121C" w:rsidRPr="00FE121C" w:rsidRDefault="00FE121C" w:rsidP="00FE121C">
            <w:pPr>
              <w:spacing w:line="360" w:lineRule="auto"/>
              <w:jc w:val="both"/>
              <w:rPr>
                <w:rFonts w:ascii="Times New Roman" w:eastAsia="Calibri" w:hAnsi="Times New Roman" w:cs="Times New Roman"/>
                <w:sz w:val="24"/>
                <w:szCs w:val="24"/>
                <w:lang w:eastAsia="bg-BG"/>
              </w:rPr>
            </w:pPr>
            <w:r w:rsidRPr="00FE121C">
              <w:rPr>
                <w:rFonts w:ascii="Times New Roman" w:eastAsia="Calibri" w:hAnsi="Times New Roman" w:cs="Times New Roman"/>
                <w:sz w:val="24"/>
                <w:szCs w:val="24"/>
                <w:lang w:eastAsia="bg-BG"/>
              </w:rPr>
              <w:t>32,4%</w:t>
            </w:r>
          </w:p>
        </w:tc>
        <w:tc>
          <w:tcPr>
            <w:tcW w:w="1276" w:type="dxa"/>
          </w:tcPr>
          <w:p w:rsidR="00FE121C" w:rsidRPr="00FE121C" w:rsidRDefault="00FE121C" w:rsidP="00FE121C">
            <w:pPr>
              <w:spacing w:line="360" w:lineRule="auto"/>
              <w:jc w:val="both"/>
              <w:rPr>
                <w:rFonts w:ascii="Times New Roman" w:eastAsia="Calibri" w:hAnsi="Times New Roman" w:cs="Times New Roman"/>
                <w:sz w:val="24"/>
                <w:szCs w:val="24"/>
                <w:lang w:eastAsia="bg-BG"/>
              </w:rPr>
            </w:pPr>
            <w:r w:rsidRPr="00FE121C">
              <w:rPr>
                <w:rFonts w:ascii="Times New Roman" w:eastAsia="Calibri" w:hAnsi="Times New Roman" w:cs="Times New Roman"/>
                <w:sz w:val="24"/>
                <w:szCs w:val="24"/>
                <w:lang w:eastAsia="bg-BG"/>
              </w:rPr>
              <w:t>6,6%</w:t>
            </w:r>
          </w:p>
        </w:tc>
      </w:tr>
      <w:tr w:rsidR="00FE121C" w:rsidRPr="00FE121C" w:rsidTr="00FE121C">
        <w:tc>
          <w:tcPr>
            <w:tcW w:w="2693" w:type="dxa"/>
          </w:tcPr>
          <w:p w:rsidR="00FE121C" w:rsidRPr="00FE121C" w:rsidRDefault="00FE121C" w:rsidP="00FE121C">
            <w:pPr>
              <w:spacing w:line="360" w:lineRule="auto"/>
              <w:jc w:val="both"/>
              <w:rPr>
                <w:rFonts w:ascii="Times New Roman" w:eastAsia="Calibri" w:hAnsi="Times New Roman" w:cs="Times New Roman"/>
                <w:b/>
                <w:sz w:val="24"/>
                <w:szCs w:val="24"/>
                <w:lang w:eastAsia="bg-BG"/>
              </w:rPr>
            </w:pPr>
            <w:r w:rsidRPr="00FE121C">
              <w:rPr>
                <w:rFonts w:ascii="Times New Roman" w:eastAsia="Calibri" w:hAnsi="Times New Roman" w:cs="Times New Roman"/>
                <w:b/>
                <w:sz w:val="24"/>
                <w:szCs w:val="24"/>
                <w:lang w:eastAsia="bg-BG"/>
              </w:rPr>
              <w:t>Югоизточен</w:t>
            </w:r>
          </w:p>
        </w:tc>
        <w:tc>
          <w:tcPr>
            <w:tcW w:w="993" w:type="dxa"/>
          </w:tcPr>
          <w:p w:rsidR="00FE121C" w:rsidRPr="00FE121C" w:rsidRDefault="00FE121C" w:rsidP="00FE121C">
            <w:pPr>
              <w:spacing w:line="360" w:lineRule="auto"/>
              <w:jc w:val="both"/>
              <w:rPr>
                <w:rFonts w:ascii="Times New Roman" w:eastAsia="Calibri" w:hAnsi="Times New Roman" w:cs="Times New Roman"/>
                <w:sz w:val="24"/>
                <w:szCs w:val="24"/>
                <w:lang w:eastAsia="bg-BG"/>
              </w:rPr>
            </w:pPr>
            <w:r w:rsidRPr="00FE121C">
              <w:rPr>
                <w:rFonts w:ascii="Times New Roman" w:eastAsia="Calibri" w:hAnsi="Times New Roman" w:cs="Times New Roman"/>
                <w:sz w:val="24"/>
                <w:szCs w:val="24"/>
                <w:lang w:eastAsia="bg-BG"/>
              </w:rPr>
              <w:t>26,3%</w:t>
            </w:r>
          </w:p>
        </w:tc>
        <w:tc>
          <w:tcPr>
            <w:tcW w:w="1066" w:type="dxa"/>
          </w:tcPr>
          <w:p w:rsidR="00FE121C" w:rsidRPr="00FE121C" w:rsidRDefault="00FE121C" w:rsidP="00FE121C">
            <w:pPr>
              <w:spacing w:line="360" w:lineRule="auto"/>
              <w:jc w:val="both"/>
              <w:rPr>
                <w:rFonts w:ascii="Times New Roman" w:eastAsia="Calibri" w:hAnsi="Times New Roman" w:cs="Times New Roman"/>
                <w:sz w:val="24"/>
                <w:szCs w:val="24"/>
                <w:lang w:eastAsia="bg-BG"/>
              </w:rPr>
            </w:pPr>
            <w:r w:rsidRPr="00FE121C">
              <w:rPr>
                <w:rFonts w:ascii="Times New Roman" w:eastAsia="Calibri" w:hAnsi="Times New Roman" w:cs="Times New Roman"/>
                <w:sz w:val="24"/>
                <w:szCs w:val="24"/>
                <w:lang w:eastAsia="bg-BG"/>
              </w:rPr>
              <w:t>28,9%</w:t>
            </w:r>
          </w:p>
        </w:tc>
        <w:tc>
          <w:tcPr>
            <w:tcW w:w="1276" w:type="dxa"/>
          </w:tcPr>
          <w:p w:rsidR="00FE121C" w:rsidRPr="00FE121C" w:rsidRDefault="00FE121C" w:rsidP="00FE121C">
            <w:pPr>
              <w:spacing w:line="360" w:lineRule="auto"/>
              <w:jc w:val="both"/>
              <w:rPr>
                <w:rFonts w:ascii="Times New Roman" w:eastAsia="Calibri" w:hAnsi="Times New Roman" w:cs="Times New Roman"/>
                <w:sz w:val="24"/>
                <w:szCs w:val="24"/>
                <w:lang w:eastAsia="bg-BG"/>
              </w:rPr>
            </w:pPr>
            <w:r w:rsidRPr="00FE121C">
              <w:rPr>
                <w:rFonts w:ascii="Times New Roman" w:eastAsia="Calibri" w:hAnsi="Times New Roman" w:cs="Times New Roman"/>
                <w:sz w:val="24"/>
                <w:szCs w:val="24"/>
                <w:lang w:eastAsia="bg-BG"/>
              </w:rPr>
              <w:t>2,6%</w:t>
            </w:r>
          </w:p>
        </w:tc>
      </w:tr>
      <w:tr w:rsidR="00FE121C" w:rsidRPr="00FE121C" w:rsidTr="00FE121C">
        <w:tc>
          <w:tcPr>
            <w:tcW w:w="2693" w:type="dxa"/>
          </w:tcPr>
          <w:p w:rsidR="00FE121C" w:rsidRPr="00FE121C" w:rsidRDefault="00FE121C" w:rsidP="00FE121C">
            <w:pPr>
              <w:spacing w:line="360" w:lineRule="auto"/>
              <w:jc w:val="both"/>
              <w:rPr>
                <w:rFonts w:ascii="Times New Roman" w:eastAsia="Calibri" w:hAnsi="Times New Roman" w:cs="Times New Roman"/>
                <w:b/>
                <w:sz w:val="24"/>
                <w:szCs w:val="24"/>
                <w:lang w:eastAsia="bg-BG"/>
              </w:rPr>
            </w:pPr>
            <w:r w:rsidRPr="00FE121C">
              <w:rPr>
                <w:rFonts w:ascii="Times New Roman" w:eastAsia="Calibri" w:hAnsi="Times New Roman" w:cs="Times New Roman"/>
                <w:b/>
                <w:sz w:val="24"/>
                <w:szCs w:val="24"/>
                <w:lang w:eastAsia="bg-BG"/>
              </w:rPr>
              <w:t>Югозападен</w:t>
            </w:r>
          </w:p>
        </w:tc>
        <w:tc>
          <w:tcPr>
            <w:tcW w:w="993" w:type="dxa"/>
          </w:tcPr>
          <w:p w:rsidR="00FE121C" w:rsidRPr="00FE121C" w:rsidRDefault="00FE121C" w:rsidP="00FE121C">
            <w:pPr>
              <w:spacing w:line="360" w:lineRule="auto"/>
              <w:jc w:val="both"/>
              <w:rPr>
                <w:rFonts w:ascii="Times New Roman" w:eastAsia="Calibri" w:hAnsi="Times New Roman" w:cs="Times New Roman"/>
                <w:sz w:val="24"/>
                <w:szCs w:val="24"/>
                <w:lang w:eastAsia="bg-BG"/>
              </w:rPr>
            </w:pPr>
            <w:r w:rsidRPr="00FE121C">
              <w:rPr>
                <w:rFonts w:ascii="Times New Roman" w:eastAsia="Calibri" w:hAnsi="Times New Roman" w:cs="Times New Roman"/>
                <w:sz w:val="24"/>
                <w:szCs w:val="24"/>
                <w:lang w:eastAsia="bg-BG"/>
              </w:rPr>
              <w:t>40,1%</w:t>
            </w:r>
          </w:p>
        </w:tc>
        <w:tc>
          <w:tcPr>
            <w:tcW w:w="1066" w:type="dxa"/>
          </w:tcPr>
          <w:p w:rsidR="00FE121C" w:rsidRPr="00FE121C" w:rsidRDefault="00FE121C" w:rsidP="00FE121C">
            <w:pPr>
              <w:spacing w:line="360" w:lineRule="auto"/>
              <w:jc w:val="both"/>
              <w:rPr>
                <w:rFonts w:ascii="Times New Roman" w:eastAsia="Calibri" w:hAnsi="Times New Roman" w:cs="Times New Roman"/>
                <w:sz w:val="24"/>
                <w:szCs w:val="24"/>
                <w:lang w:eastAsia="bg-BG"/>
              </w:rPr>
            </w:pPr>
            <w:r w:rsidRPr="00FE121C">
              <w:rPr>
                <w:rFonts w:ascii="Times New Roman" w:eastAsia="Calibri" w:hAnsi="Times New Roman" w:cs="Times New Roman"/>
                <w:sz w:val="24"/>
                <w:szCs w:val="24"/>
                <w:lang w:eastAsia="bg-BG"/>
              </w:rPr>
              <w:t>46,8%</w:t>
            </w:r>
          </w:p>
        </w:tc>
        <w:tc>
          <w:tcPr>
            <w:tcW w:w="1276" w:type="dxa"/>
          </w:tcPr>
          <w:p w:rsidR="00FE121C" w:rsidRPr="00FE121C" w:rsidRDefault="00FE121C" w:rsidP="00FE121C">
            <w:pPr>
              <w:spacing w:line="360" w:lineRule="auto"/>
              <w:jc w:val="both"/>
              <w:rPr>
                <w:rFonts w:ascii="Times New Roman" w:eastAsia="Calibri" w:hAnsi="Times New Roman" w:cs="Times New Roman"/>
                <w:sz w:val="24"/>
                <w:szCs w:val="24"/>
                <w:lang w:eastAsia="bg-BG"/>
              </w:rPr>
            </w:pPr>
            <w:r w:rsidRPr="00FE121C">
              <w:rPr>
                <w:rFonts w:ascii="Times New Roman" w:eastAsia="Calibri" w:hAnsi="Times New Roman" w:cs="Times New Roman"/>
                <w:sz w:val="24"/>
                <w:szCs w:val="24"/>
                <w:lang w:eastAsia="bg-BG"/>
              </w:rPr>
              <w:t>6,7%</w:t>
            </w:r>
          </w:p>
        </w:tc>
      </w:tr>
      <w:tr w:rsidR="00FE121C" w:rsidRPr="00FE121C" w:rsidTr="00FE121C">
        <w:tc>
          <w:tcPr>
            <w:tcW w:w="2693" w:type="dxa"/>
          </w:tcPr>
          <w:p w:rsidR="00FE121C" w:rsidRPr="00FE121C" w:rsidRDefault="00FE121C" w:rsidP="00FE121C">
            <w:pPr>
              <w:spacing w:line="360" w:lineRule="auto"/>
              <w:jc w:val="both"/>
              <w:rPr>
                <w:rFonts w:ascii="Times New Roman" w:eastAsia="Calibri" w:hAnsi="Times New Roman" w:cs="Times New Roman"/>
                <w:b/>
                <w:sz w:val="24"/>
                <w:szCs w:val="24"/>
                <w:lang w:eastAsia="bg-BG"/>
              </w:rPr>
            </w:pPr>
            <w:r w:rsidRPr="00FE121C">
              <w:rPr>
                <w:rFonts w:ascii="Times New Roman" w:eastAsia="Calibri" w:hAnsi="Times New Roman" w:cs="Times New Roman"/>
                <w:b/>
                <w:sz w:val="24"/>
                <w:szCs w:val="24"/>
                <w:lang w:eastAsia="bg-BG"/>
              </w:rPr>
              <w:t>Южен централен</w:t>
            </w:r>
          </w:p>
        </w:tc>
        <w:tc>
          <w:tcPr>
            <w:tcW w:w="993" w:type="dxa"/>
          </w:tcPr>
          <w:p w:rsidR="00FE121C" w:rsidRPr="00FE121C" w:rsidRDefault="00FE121C" w:rsidP="00FE121C">
            <w:pPr>
              <w:spacing w:line="360" w:lineRule="auto"/>
              <w:jc w:val="both"/>
              <w:rPr>
                <w:rFonts w:ascii="Times New Roman" w:eastAsia="Calibri" w:hAnsi="Times New Roman" w:cs="Times New Roman"/>
                <w:sz w:val="24"/>
                <w:szCs w:val="24"/>
                <w:lang w:eastAsia="bg-BG"/>
              </w:rPr>
            </w:pPr>
            <w:r w:rsidRPr="00FE121C">
              <w:rPr>
                <w:rFonts w:ascii="Times New Roman" w:eastAsia="Calibri" w:hAnsi="Times New Roman" w:cs="Times New Roman"/>
                <w:sz w:val="24"/>
                <w:szCs w:val="24"/>
                <w:lang w:eastAsia="bg-BG"/>
              </w:rPr>
              <w:t>22%</w:t>
            </w:r>
          </w:p>
        </w:tc>
        <w:tc>
          <w:tcPr>
            <w:tcW w:w="1066" w:type="dxa"/>
          </w:tcPr>
          <w:p w:rsidR="00FE121C" w:rsidRPr="00FE121C" w:rsidRDefault="00FE121C" w:rsidP="00FE121C">
            <w:pPr>
              <w:spacing w:line="360" w:lineRule="auto"/>
              <w:jc w:val="both"/>
              <w:rPr>
                <w:rFonts w:ascii="Times New Roman" w:eastAsia="Calibri" w:hAnsi="Times New Roman" w:cs="Times New Roman"/>
                <w:sz w:val="24"/>
                <w:szCs w:val="24"/>
                <w:lang w:eastAsia="bg-BG"/>
              </w:rPr>
            </w:pPr>
            <w:r w:rsidRPr="00FE121C">
              <w:rPr>
                <w:rFonts w:ascii="Times New Roman" w:eastAsia="Calibri" w:hAnsi="Times New Roman" w:cs="Times New Roman"/>
                <w:sz w:val="24"/>
                <w:szCs w:val="24"/>
                <w:lang w:eastAsia="bg-BG"/>
              </w:rPr>
              <w:t>28,9%</w:t>
            </w:r>
          </w:p>
        </w:tc>
        <w:tc>
          <w:tcPr>
            <w:tcW w:w="1276" w:type="dxa"/>
          </w:tcPr>
          <w:p w:rsidR="00FE121C" w:rsidRPr="00FE121C" w:rsidRDefault="00FE121C" w:rsidP="00FE121C">
            <w:pPr>
              <w:spacing w:line="360" w:lineRule="auto"/>
              <w:jc w:val="both"/>
              <w:rPr>
                <w:rFonts w:ascii="Times New Roman" w:eastAsia="Calibri" w:hAnsi="Times New Roman" w:cs="Times New Roman"/>
                <w:sz w:val="24"/>
                <w:szCs w:val="24"/>
                <w:lang w:eastAsia="bg-BG"/>
              </w:rPr>
            </w:pPr>
            <w:r w:rsidRPr="00FE121C">
              <w:rPr>
                <w:rFonts w:ascii="Times New Roman" w:eastAsia="Calibri" w:hAnsi="Times New Roman" w:cs="Times New Roman"/>
                <w:sz w:val="24"/>
                <w:szCs w:val="24"/>
                <w:lang w:eastAsia="bg-BG"/>
              </w:rPr>
              <w:t>6,9%</w:t>
            </w:r>
          </w:p>
        </w:tc>
      </w:tr>
    </w:tbl>
    <w:p w:rsidR="00FE121C" w:rsidRPr="00FE121C" w:rsidRDefault="00FE121C" w:rsidP="00FE121C">
      <w:pPr>
        <w:widowControl w:val="0"/>
        <w:autoSpaceDE w:val="0"/>
        <w:autoSpaceDN w:val="0"/>
        <w:adjustRightInd w:val="0"/>
        <w:spacing w:after="0" w:line="360" w:lineRule="auto"/>
        <w:ind w:right="22"/>
        <w:contextualSpacing/>
        <w:rPr>
          <w:rFonts w:ascii="Times New Roman" w:eastAsia="Times New Roman" w:hAnsi="Times New Roman" w:cs="Times New Roman"/>
          <w:i/>
          <w:sz w:val="20"/>
          <w:szCs w:val="20"/>
          <w:lang w:eastAsia="bg-BG"/>
        </w:rPr>
      </w:pPr>
      <w:r>
        <w:rPr>
          <w:rFonts w:ascii="Times New Roman" w:eastAsia="Times New Roman" w:hAnsi="Times New Roman" w:cs="Times New Roman"/>
          <w:i/>
          <w:sz w:val="20"/>
          <w:szCs w:val="20"/>
          <w:lang w:eastAsia="bg-BG"/>
        </w:rPr>
        <w:t xml:space="preserve">                  </w:t>
      </w:r>
      <w:r>
        <w:rPr>
          <w:rFonts w:ascii="Times New Roman" w:eastAsia="Times New Roman" w:hAnsi="Times New Roman" w:cs="Times New Roman"/>
          <w:i/>
          <w:sz w:val="20"/>
          <w:szCs w:val="20"/>
          <w:lang w:val="en-US" w:eastAsia="bg-BG"/>
        </w:rPr>
        <w:tab/>
      </w:r>
      <w:r w:rsidRPr="00FE121C">
        <w:rPr>
          <w:rFonts w:ascii="Times New Roman" w:eastAsia="Times New Roman" w:hAnsi="Times New Roman" w:cs="Times New Roman"/>
          <w:i/>
          <w:sz w:val="20"/>
          <w:szCs w:val="20"/>
          <w:lang w:eastAsia="bg-BG"/>
        </w:rPr>
        <w:t xml:space="preserve">Източник: Евростат </w:t>
      </w:r>
      <w:r w:rsidRPr="00FE121C">
        <w:rPr>
          <w:rFonts w:ascii="Times New Roman" w:eastAsia="Times New Roman" w:hAnsi="Times New Roman" w:cs="Times New Roman"/>
          <w:i/>
          <w:sz w:val="20"/>
          <w:szCs w:val="20"/>
          <w:lang w:eastAsia="bg-BG"/>
        </w:rPr>
        <w:tab/>
      </w:r>
    </w:p>
    <w:p w:rsidR="00FE121C" w:rsidRPr="00FE121C" w:rsidRDefault="00FE121C" w:rsidP="00FE121C">
      <w:pPr>
        <w:spacing w:after="0" w:line="360" w:lineRule="auto"/>
        <w:ind w:firstLine="708"/>
        <w:jc w:val="both"/>
        <w:rPr>
          <w:rFonts w:ascii="Times New Roman" w:eastAsia="Calibri" w:hAnsi="Times New Roman" w:cs="Times New Roman"/>
          <w:sz w:val="24"/>
          <w:szCs w:val="24"/>
          <w:lang w:eastAsia="bg-BG"/>
        </w:rPr>
      </w:pPr>
    </w:p>
    <w:p w:rsidR="00FE121C" w:rsidRPr="00FE121C" w:rsidRDefault="00FE121C" w:rsidP="00FE121C">
      <w:pPr>
        <w:widowControl w:val="0"/>
        <w:autoSpaceDE w:val="0"/>
        <w:autoSpaceDN w:val="0"/>
        <w:adjustRightInd w:val="0"/>
        <w:spacing w:after="0" w:line="360" w:lineRule="auto"/>
        <w:ind w:right="140" w:firstLine="709"/>
        <w:jc w:val="both"/>
        <w:rPr>
          <w:rFonts w:ascii="Times New Roman" w:eastAsia="Times New Roman" w:hAnsi="Times New Roman" w:cs="Times New Roman"/>
          <w:sz w:val="24"/>
          <w:szCs w:val="24"/>
          <w:lang w:eastAsia="bg-BG"/>
        </w:rPr>
      </w:pPr>
      <w:r w:rsidRPr="00FE121C">
        <w:rPr>
          <w:rFonts w:ascii="Times New Roman" w:eastAsia="Calibri" w:hAnsi="Times New Roman" w:cs="Times New Roman"/>
          <w:sz w:val="24"/>
          <w:szCs w:val="24"/>
          <w:lang w:eastAsia="bg-BG"/>
        </w:rPr>
        <w:t xml:space="preserve"> Заетите във високо-технологични производства през 2015 г. са 16,6% от всички заети, при 14,9% през 2008 г. </w:t>
      </w:r>
      <w:r w:rsidRPr="00FE121C">
        <w:rPr>
          <w:rFonts w:ascii="Times New Roman" w:eastAsia="Times New Roman" w:hAnsi="Times New Roman" w:cs="Times New Roman"/>
          <w:sz w:val="24"/>
          <w:szCs w:val="24"/>
          <w:lang w:eastAsia="bg-BG"/>
        </w:rPr>
        <w:t xml:space="preserve">Най-малко са заетите кадри в сферата на науката и иновациите в Северозападния район – 3,4%.  </w:t>
      </w:r>
      <w:r w:rsidRPr="00FE121C">
        <w:rPr>
          <w:rFonts w:ascii="Times New Roman" w:eastAsia="Calibri" w:hAnsi="Times New Roman" w:cs="Times New Roman"/>
          <w:sz w:val="24"/>
          <w:szCs w:val="24"/>
          <w:lang w:eastAsia="bg-BG"/>
        </w:rPr>
        <w:t>Принос за промяната има главно ОП „Конкурентоспособност“ 2007-2013 г.,</w:t>
      </w:r>
      <w:r w:rsidRPr="00FE121C">
        <w:rPr>
          <w:rFonts w:ascii="Times New Roman" w:eastAsia="Times New Roman" w:hAnsi="Times New Roman" w:cs="Arial"/>
          <w:bCs/>
          <w:iCs/>
          <w:sz w:val="24"/>
          <w:szCs w:val="26"/>
        </w:rPr>
        <w:t xml:space="preserve"> по която са сключени 59 договора на стойност 131 млн. лв.,</w:t>
      </w:r>
      <w:r w:rsidRPr="00FE121C">
        <w:rPr>
          <w:rFonts w:ascii="Times New Roman" w:eastAsia="Calibri" w:hAnsi="Times New Roman" w:cs="Times New Roman"/>
          <w:sz w:val="24"/>
          <w:szCs w:val="24"/>
          <w:lang w:eastAsia="bg-BG"/>
        </w:rPr>
        <w:t xml:space="preserve"> както и участието на представители на българския бизнес и образователни институции в Шестата и Седмата Рамкова програма на ЕС. </w:t>
      </w:r>
      <w:r w:rsidRPr="00FE121C">
        <w:rPr>
          <w:rFonts w:ascii="Times New Roman" w:eastAsia="Times New Roman" w:hAnsi="Times New Roman" w:cs="Times New Roman"/>
          <w:sz w:val="24"/>
          <w:szCs w:val="24"/>
          <w:lang w:eastAsia="bg-BG"/>
        </w:rPr>
        <w:t>Въпреки неголемия на пръв поглед брой проекти, тяхното изпълнение е довело до значително развитие на инфраструктурата за обмен на технологии, знания и иновации, тъй като проектите са мащабни.</w:t>
      </w:r>
    </w:p>
    <w:p w:rsidR="00FE121C" w:rsidRPr="00FE121C" w:rsidRDefault="00FE121C" w:rsidP="00FE121C">
      <w:pPr>
        <w:widowControl w:val="0"/>
        <w:autoSpaceDE w:val="0"/>
        <w:autoSpaceDN w:val="0"/>
        <w:adjustRightInd w:val="0"/>
        <w:spacing w:after="0" w:line="360" w:lineRule="auto"/>
        <w:ind w:right="140" w:firstLine="709"/>
        <w:jc w:val="both"/>
        <w:rPr>
          <w:rFonts w:ascii="Times New Roman" w:eastAsia="Times New Roman" w:hAnsi="Times New Roman" w:cs="Times New Roman"/>
          <w:sz w:val="24"/>
          <w:szCs w:val="24"/>
          <w:lang w:eastAsia="bg-BG"/>
        </w:rPr>
      </w:pPr>
      <w:r w:rsidRPr="00FE121C">
        <w:rPr>
          <w:rFonts w:ascii="Times New Roman" w:eastAsia="Times New Roman" w:hAnsi="Times New Roman" w:cs="Times New Roman"/>
          <w:sz w:val="24"/>
          <w:szCs w:val="24"/>
          <w:lang w:eastAsia="bg-BG"/>
        </w:rPr>
        <w:t>Освен центрове за развитие на науката и иновациите, по процедура: „BG161PO003-1.2.02 Създаване на нови и укрепване на съществуващи офиси за технологичен трансфер“ е създадена инфраструктура от офиси. Успешно приключилите проекти са 16 на брой, като 14 от тях създават нови офиси, а 2 допринасят за разширяването и развитието на вече създадени такива. 13 от офисите за трансфер на технологии са разположени на територията на Югозападен район, 2 в Южен централен и 1 в Югоизточен район.</w:t>
      </w:r>
    </w:p>
    <w:p w:rsidR="00FE121C" w:rsidRPr="00FE121C" w:rsidRDefault="00FE121C" w:rsidP="00FE121C">
      <w:pPr>
        <w:widowControl w:val="0"/>
        <w:autoSpaceDE w:val="0"/>
        <w:autoSpaceDN w:val="0"/>
        <w:adjustRightInd w:val="0"/>
        <w:spacing w:after="0" w:line="360" w:lineRule="auto"/>
        <w:ind w:right="140" w:firstLine="709"/>
        <w:jc w:val="both"/>
        <w:rPr>
          <w:rFonts w:ascii="Times New Roman" w:eastAsia="Times New Roman" w:hAnsi="Times New Roman" w:cs="Times New Roman"/>
          <w:sz w:val="24"/>
          <w:szCs w:val="24"/>
          <w:lang w:eastAsia="bg-BG"/>
        </w:rPr>
      </w:pPr>
      <w:r w:rsidRPr="00FE121C">
        <w:rPr>
          <w:rFonts w:ascii="Times New Roman" w:eastAsia="Times New Roman" w:hAnsi="Times New Roman" w:cs="Times New Roman"/>
          <w:sz w:val="24"/>
          <w:szCs w:val="24"/>
          <w:lang w:eastAsia="bg-BG"/>
        </w:rPr>
        <w:t xml:space="preserve">Един от вече създадените офиси е Офис за трансфер на технологии, който </w:t>
      </w:r>
      <w:r w:rsidRPr="00FE121C">
        <w:rPr>
          <w:rFonts w:ascii="Times New Roman" w:eastAsia="Times New Roman" w:hAnsi="Times New Roman" w:cs="Times New Roman"/>
          <w:sz w:val="24"/>
          <w:szCs w:val="24"/>
          <w:lang w:val="en-US" w:eastAsia="bg-BG"/>
        </w:rPr>
        <w:t xml:space="preserve">e </w:t>
      </w:r>
      <w:r w:rsidRPr="00FE121C">
        <w:rPr>
          <w:rFonts w:ascii="Times New Roman" w:eastAsia="Times New Roman" w:hAnsi="Times New Roman" w:cs="Times New Roman"/>
          <w:sz w:val="24"/>
          <w:szCs w:val="24"/>
          <w:lang w:eastAsia="bg-BG"/>
        </w:rPr>
        <w:lastRenderedPageBreak/>
        <w:t>звено в рамките на Института за космически изследвания към Българска академия на науките. Създаден е през ноември 2007 г. с изпълнение на проект по програма PHARE. По ОП „Конкурентоспособност“ той е разширен, което показва устойчивост на създадената инфраструктура и надграждане на резултатите.</w:t>
      </w:r>
    </w:p>
    <w:p w:rsidR="00FE121C" w:rsidRPr="00FE121C" w:rsidRDefault="00FE121C" w:rsidP="00FE121C">
      <w:pPr>
        <w:keepNext/>
        <w:spacing w:after="0" w:line="360" w:lineRule="auto"/>
        <w:ind w:firstLine="709"/>
        <w:jc w:val="both"/>
        <w:rPr>
          <w:rFonts w:ascii="Times New Roman" w:eastAsia="Calibri" w:hAnsi="Times New Roman" w:cs="Times New Roman"/>
          <w:sz w:val="24"/>
          <w:szCs w:val="24"/>
          <w:lang w:eastAsia="bg-BG"/>
        </w:rPr>
      </w:pPr>
      <w:r w:rsidRPr="00FE121C">
        <w:rPr>
          <w:rFonts w:ascii="Times New Roman" w:eastAsia="Calibri" w:hAnsi="Times New Roman" w:cs="Times New Roman"/>
          <w:sz w:val="24"/>
          <w:szCs w:val="24"/>
          <w:lang w:eastAsia="bg-BG"/>
        </w:rPr>
        <w:t>Реализираните проекти ще имат дългосрочен позитивен ефект върху икономическото развитие в посока повишаване конкурентоспособността на икономиката и развитието на модерни  нови технологии и производства.</w:t>
      </w:r>
    </w:p>
    <w:p w:rsidR="00FE121C" w:rsidRPr="00FE121C" w:rsidRDefault="00FE121C" w:rsidP="00FE121C">
      <w:pPr>
        <w:widowControl w:val="0"/>
        <w:autoSpaceDE w:val="0"/>
        <w:autoSpaceDN w:val="0"/>
        <w:adjustRightInd w:val="0"/>
        <w:spacing w:after="0" w:line="360" w:lineRule="auto"/>
        <w:ind w:right="140" w:firstLine="709"/>
        <w:jc w:val="both"/>
        <w:rPr>
          <w:rFonts w:ascii="Times New Roman" w:eastAsia="Times New Roman" w:hAnsi="Times New Roman" w:cs="Times New Roman"/>
          <w:sz w:val="24"/>
          <w:szCs w:val="24"/>
          <w:lang w:val="en-US" w:eastAsia="bg-BG"/>
        </w:rPr>
      </w:pPr>
      <w:r w:rsidRPr="00FE121C">
        <w:rPr>
          <w:rFonts w:ascii="Times New Roman" w:eastAsia="Times New Roman" w:hAnsi="Times New Roman" w:cs="Times New Roman"/>
          <w:sz w:val="24"/>
          <w:szCs w:val="24"/>
          <w:lang w:eastAsia="bg-BG"/>
        </w:rPr>
        <w:t>Необходимо е да се отбележи, че липсват реализирани проекти в северните райони, с което ще се създаде неравнопоставеност между възможностите за повишаване технологичното развитие и конкурентоспособността на предприятията в северната и южната част на страната.</w:t>
      </w:r>
    </w:p>
    <w:p w:rsidR="00FE121C" w:rsidRPr="00FE121C" w:rsidRDefault="00FE121C" w:rsidP="00FE121C">
      <w:pPr>
        <w:spacing w:after="0" w:line="360" w:lineRule="auto"/>
        <w:ind w:firstLine="708"/>
        <w:jc w:val="both"/>
        <w:rPr>
          <w:rFonts w:ascii="Times New Roman" w:eastAsia="Calibri" w:hAnsi="Times New Roman" w:cs="Times New Roman"/>
          <w:sz w:val="24"/>
          <w:szCs w:val="24"/>
          <w:lang w:eastAsia="bg-BG"/>
        </w:rPr>
      </w:pPr>
      <w:r w:rsidRPr="00FE121C">
        <w:rPr>
          <w:rFonts w:ascii="Times New Roman" w:eastAsia="Calibri" w:hAnsi="Times New Roman" w:cs="Times New Roman"/>
          <w:sz w:val="24"/>
          <w:szCs w:val="24"/>
          <w:lang w:eastAsia="bg-BG"/>
        </w:rPr>
        <w:t>За периода 2005-2015 г. в България бяха разработени няколко иновационни стратегии: Иновационна стратегия за интелигентна специализация на Република България 2014-2020 г. – национален обхват, Регионална иновационна стратегия за Северозападния и Северния централен район в България – регионален обхват (2 района), Регионална иновационна стратегия Южен централен район - регионален обхват, Регионална иновационна стратегия на Североизточен район на България с план за действие - регионален обхват. Националната стратегия за интелигентна специализация е важен документ, който определя приоритетните области за инвестиции  в различните райони на страната и представлява основа за териториална концентрация на инвестициите в различните области.</w:t>
      </w:r>
    </w:p>
    <w:p w:rsidR="00FE121C" w:rsidRPr="00FE121C" w:rsidRDefault="00FE121C" w:rsidP="00FE121C">
      <w:pPr>
        <w:spacing w:after="0" w:line="360" w:lineRule="auto"/>
        <w:ind w:firstLine="708"/>
        <w:jc w:val="both"/>
        <w:rPr>
          <w:rFonts w:ascii="Times New Roman" w:eastAsia="Calibri" w:hAnsi="Times New Roman" w:cs="Times New Roman"/>
          <w:sz w:val="24"/>
          <w:szCs w:val="24"/>
          <w:lang w:eastAsia="bg-BG"/>
        </w:rPr>
      </w:pPr>
      <w:r w:rsidRPr="00FE121C">
        <w:rPr>
          <w:rFonts w:ascii="Times New Roman" w:eastAsia="Calibri" w:hAnsi="Times New Roman" w:cs="Times New Roman"/>
          <w:sz w:val="24"/>
          <w:szCs w:val="24"/>
          <w:lang w:eastAsia="bg-BG"/>
        </w:rPr>
        <w:t>Установена е постоянна тенденция за нарастване на достъпа до интернет от 2005  до 2015 г. както за битовите, така и за бизнес абонатите. Към 2015 г. повече от половината домакинства в страната разполагат с такъв (58,8%). С най-високо  покритие с Интернет са  Североизточен район - 67% от домакинствата, Югозападен и Южен централен район с 65% към 2016 г. В гъсто населените места – големите градове в страната, относителният дял на домакинствата с достъп до широколентов интернет е значително по-висок от този в слабо населените места – с цели 24,9%. По-отношение покритието с широколентов Интернет е отбелязан голям напредък, тъй като  покритието на районите от ниво 2 варира между 97%-100% от домакинствата, съгласно информация от страницата на Евростат. Създадените условия позволяват по-широко навлизане на информационно-комуникационните технологии в производствения сектор  и развитието на електронната търговия.</w:t>
      </w:r>
    </w:p>
    <w:p w:rsidR="00FE121C" w:rsidRPr="00FE121C" w:rsidRDefault="00FE121C" w:rsidP="00FE121C">
      <w:pPr>
        <w:spacing w:after="0" w:line="360" w:lineRule="auto"/>
        <w:ind w:firstLine="708"/>
        <w:jc w:val="both"/>
        <w:rPr>
          <w:rFonts w:ascii="Times New Roman" w:eastAsia="Calibri" w:hAnsi="Times New Roman" w:cs="Times New Roman"/>
          <w:sz w:val="24"/>
          <w:szCs w:val="24"/>
          <w:lang w:eastAsia="bg-BG"/>
        </w:rPr>
      </w:pPr>
      <w:r w:rsidRPr="00FE121C">
        <w:rPr>
          <w:rFonts w:ascii="Times New Roman" w:eastAsia="Calibri" w:hAnsi="Times New Roman" w:cs="Times New Roman"/>
          <w:sz w:val="24"/>
          <w:szCs w:val="24"/>
          <w:lang w:eastAsia="bg-BG"/>
        </w:rPr>
        <w:lastRenderedPageBreak/>
        <w:t>Броят на подкрепените МСП, които въвеждат в употреба нови технологии/ продукти, общо за страната е 662, финансирани по ОП „Конкурентоспособност“ за изминалия програмен период. Този брой е твърде ограничен на фона на общия брой на МСП, за да се постигне чувствително въздействие върху конкурентоспособността на българската икономика и да се постигне по-значим икономически растеж.</w:t>
      </w:r>
    </w:p>
    <w:p w:rsidR="00FE121C" w:rsidRPr="00FE121C" w:rsidRDefault="00FE121C" w:rsidP="00FE121C">
      <w:pPr>
        <w:spacing w:after="0" w:line="360" w:lineRule="auto"/>
        <w:ind w:firstLine="708"/>
        <w:jc w:val="both"/>
        <w:rPr>
          <w:rFonts w:ascii="Times New Roman" w:eastAsia="Calibri" w:hAnsi="Times New Roman" w:cs="Times New Roman"/>
          <w:sz w:val="24"/>
          <w:szCs w:val="24"/>
          <w:lang w:eastAsia="bg-BG"/>
        </w:rPr>
      </w:pPr>
      <w:r w:rsidRPr="00FE121C">
        <w:rPr>
          <w:rFonts w:ascii="Times New Roman" w:eastAsia="Calibri" w:hAnsi="Times New Roman" w:cs="Times New Roman"/>
          <w:sz w:val="24"/>
          <w:szCs w:val="24"/>
          <w:lang w:eastAsia="bg-BG"/>
        </w:rPr>
        <w:t xml:space="preserve"> Интегрираното градско развитие е ключов приоритет на  оперативната програма за регионално развитие 2007-2013 г.</w:t>
      </w:r>
    </w:p>
    <w:p w:rsidR="00FE121C" w:rsidRPr="00FE121C" w:rsidRDefault="00FE121C" w:rsidP="00FE121C">
      <w:pPr>
        <w:spacing w:after="0" w:line="360" w:lineRule="auto"/>
        <w:ind w:firstLine="708"/>
        <w:jc w:val="both"/>
        <w:rPr>
          <w:rFonts w:ascii="Times New Roman" w:eastAsia="Calibri" w:hAnsi="Times New Roman" w:cs="Times New Roman"/>
          <w:sz w:val="24"/>
          <w:szCs w:val="24"/>
          <w:lang w:eastAsia="bg-BG"/>
        </w:rPr>
      </w:pPr>
      <w:r w:rsidRPr="00FE121C">
        <w:rPr>
          <w:rFonts w:ascii="Times New Roman" w:eastAsia="Calibri" w:hAnsi="Times New Roman" w:cs="Times New Roman"/>
          <w:sz w:val="24"/>
          <w:szCs w:val="24"/>
          <w:lang w:eastAsia="bg-BG"/>
        </w:rPr>
        <w:t>В подкрепа на интегрираното развитие на градовете и укрепване на взаимовръзката град-регион са разработени  36 интегрирани планове за градско възстановяване и развитие (ИПГВР) на големи градски агломерации. Тези стратегически документи ще бъдат основа за интегрирани инвестиции в градските територии в периода до 2020 г. и за приоритизация на  проектите.</w:t>
      </w:r>
    </w:p>
    <w:p w:rsidR="00FE121C" w:rsidRPr="00FE121C" w:rsidRDefault="00FE121C" w:rsidP="00FE121C">
      <w:pPr>
        <w:spacing w:after="0" w:line="360" w:lineRule="auto"/>
        <w:ind w:firstLine="708"/>
        <w:jc w:val="both"/>
        <w:rPr>
          <w:rFonts w:ascii="Times New Roman" w:eastAsia="Calibri" w:hAnsi="Times New Roman" w:cs="Times New Roman"/>
          <w:sz w:val="24"/>
          <w:szCs w:val="24"/>
          <w:lang w:eastAsia="bg-BG"/>
        </w:rPr>
      </w:pPr>
      <w:r w:rsidRPr="00FE121C">
        <w:rPr>
          <w:rFonts w:ascii="Times New Roman" w:eastAsia="Calibri" w:hAnsi="Times New Roman" w:cs="Times New Roman"/>
          <w:sz w:val="24"/>
          <w:szCs w:val="24"/>
          <w:lang w:eastAsia="bg-BG"/>
        </w:rPr>
        <w:t>На по-късен етап са разработени още 31 нови ИПГВР за  по-малки градове, които са от важно значение поради тяхната специфика, че  имат  функцията да интегрират интервенции в подкрепа не само на градовете, но и да спомогнат за взаимовръзките град-хинтерланд-регион.</w:t>
      </w:r>
      <w:r w:rsidRPr="00FE121C">
        <w:rPr>
          <w:rFonts w:ascii="Times New Roman" w:eastAsia="Times New Roman" w:hAnsi="Times New Roman" w:cs="Times New Roman"/>
          <w:color w:val="000000"/>
          <w:sz w:val="24"/>
          <w:szCs w:val="24"/>
          <w:lang w:eastAsia="bg-BG"/>
        </w:rPr>
        <w:t xml:space="preserve"> Населението, което е положително засегнато от проектите за укрепване на социално-икономическата интеграция между града и прилежащия му регион/хинтерланд, включва населението на общо 67 града, както и на близко разположените им населени места, а в не малко случаи по отношение на специфични критични услуги и на отдалечените селища в региона.</w:t>
      </w:r>
    </w:p>
    <w:p w:rsidR="00FE121C" w:rsidRPr="00FE121C" w:rsidRDefault="00FE121C" w:rsidP="00FE121C">
      <w:pPr>
        <w:spacing w:after="0" w:line="360" w:lineRule="auto"/>
        <w:ind w:firstLine="708"/>
        <w:jc w:val="both"/>
        <w:rPr>
          <w:rFonts w:ascii="Times New Roman" w:eastAsia="Calibri" w:hAnsi="Times New Roman" w:cs="Times New Roman"/>
          <w:sz w:val="24"/>
          <w:szCs w:val="24"/>
          <w:lang w:eastAsia="bg-BG"/>
        </w:rPr>
      </w:pPr>
      <w:r w:rsidRPr="00FE121C">
        <w:rPr>
          <w:rFonts w:ascii="Times New Roman" w:eastAsia="Times New Roman" w:hAnsi="Times New Roman" w:cs="Times New Roman"/>
          <w:color w:val="000000"/>
          <w:sz w:val="24"/>
          <w:szCs w:val="24"/>
          <w:lang w:eastAsia="bg-BG"/>
        </w:rPr>
        <w:t>В подкрепа на процеса по укрепване на взаимовръзката град-прилежащия му регион,  през 2012 г. е разработена и приета Национална концепция за пространствено развитие 2013-2025 г., както и общи устройствени планове за част от общините в страната.</w:t>
      </w:r>
    </w:p>
    <w:p w:rsidR="00FE121C" w:rsidRPr="00FE121C" w:rsidRDefault="00FE121C" w:rsidP="00FE121C">
      <w:pPr>
        <w:spacing w:after="0" w:line="360" w:lineRule="auto"/>
        <w:ind w:firstLine="708"/>
        <w:jc w:val="both"/>
        <w:rPr>
          <w:rFonts w:ascii="Times New Roman" w:eastAsia="Times New Roman" w:hAnsi="Times New Roman" w:cs="Times New Roman"/>
          <w:color w:val="000000"/>
          <w:sz w:val="24"/>
          <w:szCs w:val="24"/>
          <w:lang w:eastAsia="bg-BG"/>
        </w:rPr>
      </w:pPr>
      <w:r w:rsidRPr="00FE121C">
        <w:rPr>
          <w:rFonts w:ascii="Times New Roman" w:eastAsia="Calibri" w:hAnsi="Times New Roman" w:cs="Times New Roman"/>
          <w:sz w:val="24"/>
          <w:szCs w:val="24"/>
          <w:lang w:eastAsia="bg-BG"/>
        </w:rPr>
        <w:t>В рамките на изпълнението на Приоритет 1 на НСРР  са изпълнени много проекти за обновяване на градовете и</w:t>
      </w:r>
      <w:r w:rsidRPr="00FE121C">
        <w:rPr>
          <w:rFonts w:ascii="Calibri" w:eastAsia="Calibri" w:hAnsi="Calibri" w:cs="Times New Roman"/>
        </w:rPr>
        <w:t xml:space="preserve"> </w:t>
      </w:r>
      <w:r w:rsidRPr="00FE121C">
        <w:rPr>
          <w:rFonts w:ascii="Times New Roman" w:eastAsia="Calibri" w:hAnsi="Times New Roman" w:cs="Times New Roman"/>
          <w:sz w:val="24"/>
          <w:szCs w:val="24"/>
          <w:lang w:eastAsia="bg-BG"/>
        </w:rPr>
        <w:t xml:space="preserve">оптимизиране на градския обществен транспорт. Проектите основно са насочени към подобряване на градската среда и укрепване на дребномащабна инфраструктура за предотвратяване на свлачища и наводнения в градските агломерации. </w:t>
      </w:r>
      <w:r w:rsidRPr="00FE121C">
        <w:rPr>
          <w:rFonts w:ascii="Times New Roman" w:eastAsia="Times New Roman" w:hAnsi="Times New Roman" w:cs="Times New Roman"/>
          <w:color w:val="000000"/>
          <w:sz w:val="24"/>
          <w:szCs w:val="24"/>
          <w:lang w:eastAsia="bg-BG"/>
        </w:rPr>
        <w:t>Общо градовете, които са получили подкрепа за развитие и оптимизиране на градския транспорт, са 7: София, Бургас, Пловдив, Стара Загора, Плевен, Варна и Русе. Проектите са ориентирани към изграждане на интелигентни системи за градски  транспорт и устойчиво развитие на транспортните системи.</w:t>
      </w:r>
    </w:p>
    <w:p w:rsidR="00FE121C" w:rsidRPr="00FE121C" w:rsidRDefault="00FE121C" w:rsidP="00FE121C">
      <w:pPr>
        <w:spacing w:after="0" w:line="360" w:lineRule="auto"/>
        <w:ind w:firstLine="708"/>
        <w:jc w:val="both"/>
        <w:rPr>
          <w:rFonts w:ascii="Times New Roman" w:eastAsia="Times New Roman" w:hAnsi="Times New Roman" w:cs="Times New Roman"/>
          <w:color w:val="000000"/>
          <w:sz w:val="24"/>
          <w:szCs w:val="24"/>
          <w:lang w:eastAsia="bg-BG"/>
        </w:rPr>
      </w:pPr>
      <w:r w:rsidRPr="00FE121C">
        <w:rPr>
          <w:rFonts w:ascii="Times New Roman" w:eastAsia="Times New Roman" w:hAnsi="Times New Roman" w:cs="Times New Roman"/>
          <w:color w:val="000000"/>
          <w:sz w:val="24"/>
          <w:szCs w:val="24"/>
          <w:lang w:eastAsia="bg-BG"/>
        </w:rPr>
        <w:t>Общата оценка за изпълнението на приоритета е средна.</w:t>
      </w:r>
    </w:p>
    <w:p w:rsidR="00FE121C" w:rsidRPr="00FE121C" w:rsidRDefault="00FE121C" w:rsidP="00FE121C">
      <w:pPr>
        <w:spacing w:after="0" w:line="360" w:lineRule="auto"/>
        <w:ind w:firstLine="708"/>
        <w:jc w:val="both"/>
        <w:rPr>
          <w:rFonts w:ascii="Times New Roman" w:eastAsia="Calibri" w:hAnsi="Times New Roman" w:cs="Times New Roman"/>
          <w:sz w:val="24"/>
          <w:szCs w:val="24"/>
          <w:lang w:eastAsia="bg-BG"/>
        </w:rPr>
      </w:pPr>
      <w:r w:rsidRPr="00FE121C">
        <w:rPr>
          <w:rFonts w:ascii="Times New Roman" w:eastAsia="Calibri" w:hAnsi="Times New Roman" w:cs="Times New Roman"/>
          <w:sz w:val="24"/>
          <w:szCs w:val="24"/>
          <w:lang w:eastAsia="bg-BG"/>
        </w:rPr>
        <w:lastRenderedPageBreak/>
        <w:t xml:space="preserve">Изпълнението на </w:t>
      </w:r>
      <w:r w:rsidRPr="00FE121C">
        <w:rPr>
          <w:rFonts w:ascii="Times New Roman" w:eastAsia="Calibri" w:hAnsi="Times New Roman" w:cs="Times New Roman"/>
          <w:b/>
          <w:sz w:val="24"/>
          <w:szCs w:val="24"/>
          <w:lang w:eastAsia="bg-BG"/>
        </w:rPr>
        <w:t>Приоритет 2: Развитие и модернизация на инфраструктурата, създаваща  условия за растеж и заетост</w:t>
      </w:r>
      <w:r w:rsidRPr="00FE121C">
        <w:rPr>
          <w:rFonts w:ascii="Times New Roman" w:eastAsia="Calibri" w:hAnsi="Times New Roman" w:cs="Times New Roman"/>
          <w:sz w:val="24"/>
          <w:szCs w:val="24"/>
          <w:lang w:eastAsia="bg-BG"/>
        </w:rPr>
        <w:t xml:space="preserve">  е в посока: подобряване на транспортната свързаност между населените места, намаляване времето за придвижване и повишаване качеството на транспортното обслужване, подобряване на жизнената среда в района и повишаване качеството на околната среда, чрез реконструкция на водоснабдителната и канализационната мрежа, подобряване на системите за управление на отпадъците, повишаване на конкурентоспособността на МСП, чрез инвестиции в подобряване на бизнес инфраструктурата. </w:t>
      </w:r>
    </w:p>
    <w:p w:rsidR="00FE121C" w:rsidRPr="00FE121C" w:rsidRDefault="00FE121C" w:rsidP="00FE121C">
      <w:pPr>
        <w:keepNext/>
        <w:spacing w:after="0" w:line="360" w:lineRule="auto"/>
        <w:ind w:firstLine="709"/>
        <w:jc w:val="both"/>
        <w:rPr>
          <w:rFonts w:ascii="Times New Roman" w:eastAsia="Times New Roman" w:hAnsi="Times New Roman" w:cs="Arial"/>
          <w:bCs/>
          <w:iCs/>
          <w:sz w:val="24"/>
          <w:szCs w:val="26"/>
        </w:rPr>
      </w:pPr>
      <w:r w:rsidRPr="00FE121C">
        <w:rPr>
          <w:rFonts w:ascii="Times New Roman" w:eastAsia="Times New Roman" w:hAnsi="Times New Roman" w:cs="Arial"/>
          <w:bCs/>
          <w:iCs/>
          <w:sz w:val="24"/>
          <w:szCs w:val="26"/>
        </w:rPr>
        <w:t xml:space="preserve">Най-голям напредък за периода 2005-2015 г. се наблюдава по отношение на изграждането на автомагистрали. Общата дължина на планираните автомагистрали в България, по данни на АПИ, възлиза на 1245 км, което показва, че към 2015г. 58,9% от тях са изградени и са пуснати в експлоатация. </w:t>
      </w:r>
    </w:p>
    <w:p w:rsidR="007578C2" w:rsidRDefault="00FE121C" w:rsidP="007578C2">
      <w:pPr>
        <w:spacing w:after="0" w:line="360" w:lineRule="auto"/>
        <w:ind w:firstLine="708"/>
        <w:jc w:val="both"/>
        <w:rPr>
          <w:rFonts w:ascii="Calibri" w:eastAsia="Calibri" w:hAnsi="Calibri" w:cs="Times New Roman"/>
        </w:rPr>
      </w:pPr>
      <w:r w:rsidRPr="00FE121C">
        <w:rPr>
          <w:rFonts w:ascii="Times New Roman" w:eastAsia="Calibri" w:hAnsi="Times New Roman" w:cs="Times New Roman"/>
          <w:sz w:val="24"/>
          <w:szCs w:val="24"/>
          <w:lang w:eastAsia="bg-BG"/>
        </w:rPr>
        <w:t>Общата дължина на пътищата II клас възлиза на 4025 км, а на III клас – 12 140 км към 2015 г. Това представлява нарастване, съответно с 13 и 164 км, спрямо 2005 година.</w:t>
      </w:r>
      <w:r w:rsidRPr="00FE121C">
        <w:rPr>
          <w:rFonts w:ascii="Calibri" w:eastAsia="Calibri" w:hAnsi="Calibri" w:cs="Times New Roman"/>
        </w:rPr>
        <w:t xml:space="preserve"> </w:t>
      </w:r>
    </w:p>
    <w:p w:rsidR="007578C2" w:rsidRDefault="00FE121C" w:rsidP="007578C2">
      <w:pPr>
        <w:spacing w:after="0" w:line="360" w:lineRule="auto"/>
        <w:ind w:firstLine="708"/>
        <w:jc w:val="both"/>
        <w:rPr>
          <w:rFonts w:ascii="Times New Roman" w:eastAsia="Times New Roman" w:hAnsi="Times New Roman" w:cs="Times New Roman"/>
          <w:sz w:val="24"/>
          <w:szCs w:val="24"/>
          <w:lang w:eastAsia="bg-BG"/>
        </w:rPr>
      </w:pPr>
      <w:r w:rsidRPr="00FE121C">
        <w:rPr>
          <w:rFonts w:ascii="Times New Roman" w:eastAsia="Times New Roman" w:hAnsi="Times New Roman" w:cs="Arial"/>
          <w:bCs/>
          <w:iCs/>
          <w:sz w:val="24"/>
          <w:szCs w:val="26"/>
        </w:rPr>
        <w:t xml:space="preserve">В периода 2005-2015 г. е констатиран значителен напредък по отношение на развитието на автомагистралната мрежа на страната. Завършването на автомагистрала „Тракия“ и свързването на София с Бургас я превърна в главна комуникационна ос в Южна България. Беше изградена магистрала „Люлин“ и значително напредна строителството на магистрала „Струма“. Беше подобрена достъпността до голяма част от градските центрове в Южна България, което въздействаше позитивно за разширяване на регионалния пазар, стимулиране на производителите и насърчаване на икономическото сътрудничество и коопериране. </w:t>
      </w:r>
      <w:r w:rsidRPr="00FE121C">
        <w:rPr>
          <w:rFonts w:ascii="Times New Roman" w:eastAsia="Times New Roman" w:hAnsi="Times New Roman" w:cs="Times New Roman"/>
          <w:sz w:val="24"/>
          <w:szCs w:val="24"/>
          <w:lang w:eastAsia="bg-BG"/>
        </w:rPr>
        <w:t>По този начин се постига по-добро обслужване на  населението в трите южни района, което съставлява 64,4% от населението на страната, поради постигането на добра интеграция между районите и повишаване на мобилността на населението.</w:t>
      </w:r>
    </w:p>
    <w:p w:rsidR="00FE121C" w:rsidRPr="00FE121C" w:rsidRDefault="00FE121C" w:rsidP="007578C2">
      <w:pPr>
        <w:spacing w:after="0" w:line="360" w:lineRule="auto"/>
        <w:ind w:firstLine="708"/>
        <w:jc w:val="both"/>
        <w:rPr>
          <w:rFonts w:ascii="Times New Roman" w:eastAsia="Times New Roman" w:hAnsi="Times New Roman" w:cs="Arial"/>
          <w:bCs/>
          <w:iCs/>
          <w:sz w:val="24"/>
          <w:szCs w:val="26"/>
        </w:rPr>
      </w:pPr>
      <w:r w:rsidRPr="00FE121C">
        <w:rPr>
          <w:rFonts w:ascii="Times New Roman" w:eastAsia="Times New Roman" w:hAnsi="Times New Roman" w:cs="Arial"/>
          <w:bCs/>
          <w:iCs/>
          <w:sz w:val="24"/>
          <w:szCs w:val="26"/>
        </w:rPr>
        <w:t>В контраст на напредъка в подобряването на транспортните връзки в Южна България северната част от страната изостана не само по отношение на достъпността и свързаността, но и по отношение на икономическото развитие.  Икономически и социален ефект от изграждането и пускането в експлоатация на Дунав мост-2 при Видин не се констатира поради изоставане в подобряването на параметрите на пътната и железопътната инфраструктура по транспортния коридор София-Видин.</w:t>
      </w:r>
    </w:p>
    <w:p w:rsidR="00FE121C" w:rsidRPr="00FE121C" w:rsidRDefault="00FE121C" w:rsidP="00FE121C">
      <w:pPr>
        <w:keepNext/>
        <w:spacing w:after="0" w:line="360" w:lineRule="auto"/>
        <w:ind w:firstLine="709"/>
        <w:jc w:val="both"/>
        <w:rPr>
          <w:rFonts w:ascii="Times New Roman" w:eastAsia="Times New Roman" w:hAnsi="Times New Roman" w:cs="Arial"/>
          <w:bCs/>
          <w:iCs/>
          <w:sz w:val="24"/>
          <w:szCs w:val="26"/>
        </w:rPr>
      </w:pPr>
      <w:r w:rsidRPr="00FE121C">
        <w:rPr>
          <w:rFonts w:ascii="Times New Roman" w:eastAsia="Times New Roman" w:hAnsi="Times New Roman" w:cs="Arial"/>
          <w:bCs/>
          <w:iCs/>
          <w:sz w:val="24"/>
          <w:szCs w:val="26"/>
        </w:rPr>
        <w:lastRenderedPageBreak/>
        <w:t xml:space="preserve">Въпреки различията между отделни части на страната по отношение на  транспортното обслужване, целевата стойност на индикатора е постигната и значително надвишена. </w:t>
      </w:r>
    </w:p>
    <w:p w:rsidR="005F04B3" w:rsidRDefault="00FE121C" w:rsidP="00FE121C">
      <w:pPr>
        <w:keepNext/>
        <w:spacing w:after="0" w:line="360" w:lineRule="auto"/>
        <w:ind w:firstLine="709"/>
        <w:jc w:val="both"/>
        <w:rPr>
          <w:rFonts w:ascii="Times New Roman" w:eastAsia="Times New Roman" w:hAnsi="Times New Roman" w:cs="Times New Roman"/>
          <w:sz w:val="24"/>
          <w:szCs w:val="24"/>
          <w:lang w:eastAsia="bg-BG"/>
        </w:rPr>
      </w:pPr>
      <w:r w:rsidRPr="00FE121C">
        <w:rPr>
          <w:rFonts w:ascii="Times New Roman" w:eastAsia="Times New Roman" w:hAnsi="Times New Roman" w:cs="Times New Roman"/>
          <w:sz w:val="24"/>
          <w:szCs w:val="24"/>
          <w:lang w:eastAsia="bg-BG"/>
        </w:rPr>
        <w:t xml:space="preserve">Констатиран е значителен напредък по отношение пречистването на отпадъчните води. </w:t>
      </w:r>
      <w:r w:rsidR="005F04B3">
        <w:rPr>
          <w:rFonts w:ascii="Times New Roman" w:eastAsia="Times New Roman" w:hAnsi="Times New Roman" w:cs="Times New Roman"/>
          <w:sz w:val="24"/>
          <w:szCs w:val="24"/>
          <w:lang w:eastAsia="bg-BG"/>
        </w:rPr>
        <w:t>До края на програмния период по оперативна програма  „Околна среда“  2007-2013 г. са завършени 50 ПСОВ от общо планираните 58 станции.</w:t>
      </w:r>
    </w:p>
    <w:p w:rsidR="00FE121C" w:rsidRPr="00FE121C" w:rsidRDefault="005F04B3" w:rsidP="00FE121C">
      <w:pPr>
        <w:keepNext/>
        <w:spacing w:after="0" w:line="360" w:lineRule="auto"/>
        <w:ind w:firstLine="709"/>
        <w:jc w:val="both"/>
        <w:rPr>
          <w:rFonts w:ascii="Times New Roman" w:eastAsia="Times New Roman" w:hAnsi="Times New Roman" w:cs="Arial"/>
          <w:bCs/>
          <w:iCs/>
          <w:sz w:val="24"/>
          <w:szCs w:val="26"/>
        </w:rPr>
      </w:pPr>
      <w:r>
        <w:rPr>
          <w:rFonts w:ascii="Times New Roman" w:eastAsia="Times New Roman" w:hAnsi="Times New Roman" w:cs="Times New Roman"/>
          <w:sz w:val="24"/>
          <w:szCs w:val="24"/>
          <w:lang w:eastAsia="bg-BG"/>
        </w:rPr>
        <w:t xml:space="preserve"> </w:t>
      </w:r>
      <w:r w:rsidRPr="005F04B3">
        <w:rPr>
          <w:rFonts w:ascii="Times New Roman" w:eastAsia="Times New Roman" w:hAnsi="Times New Roman" w:cs="Times New Roman"/>
          <w:sz w:val="24"/>
          <w:szCs w:val="24"/>
          <w:lang w:eastAsia="bg-BG"/>
        </w:rPr>
        <w:t xml:space="preserve"> </w:t>
      </w:r>
      <w:r w:rsidR="00C83170">
        <w:rPr>
          <w:rFonts w:ascii="Times New Roman" w:eastAsia="Times New Roman" w:hAnsi="Times New Roman" w:cs="Times New Roman"/>
          <w:sz w:val="24"/>
          <w:szCs w:val="24"/>
          <w:lang w:eastAsia="bg-BG"/>
        </w:rPr>
        <w:t xml:space="preserve">По </w:t>
      </w:r>
      <w:r w:rsidRPr="005F04B3">
        <w:rPr>
          <w:rFonts w:ascii="Times New Roman" w:eastAsia="Times New Roman" w:hAnsi="Times New Roman" w:cs="Times New Roman"/>
          <w:sz w:val="24"/>
          <w:szCs w:val="24"/>
          <w:lang w:eastAsia="bg-BG"/>
        </w:rPr>
        <w:t xml:space="preserve">оперативна програма „Околна среда“ 2007-2013 г. се отчита напредък </w:t>
      </w:r>
      <w:r w:rsidR="00C83170">
        <w:rPr>
          <w:rFonts w:ascii="Times New Roman" w:eastAsia="Times New Roman" w:hAnsi="Times New Roman" w:cs="Times New Roman"/>
          <w:sz w:val="24"/>
          <w:szCs w:val="24"/>
          <w:lang w:eastAsia="bg-BG"/>
        </w:rPr>
        <w:t xml:space="preserve">и в </w:t>
      </w:r>
      <w:r w:rsidRPr="005F04B3">
        <w:rPr>
          <w:rFonts w:ascii="Times New Roman" w:eastAsia="Times New Roman" w:hAnsi="Times New Roman" w:cs="Times New Roman"/>
          <w:sz w:val="24"/>
          <w:szCs w:val="24"/>
          <w:lang w:eastAsia="bg-BG"/>
        </w:rPr>
        <w:t xml:space="preserve"> изградена и реконс</w:t>
      </w:r>
      <w:r w:rsidR="00C83170">
        <w:rPr>
          <w:rFonts w:ascii="Times New Roman" w:eastAsia="Times New Roman" w:hAnsi="Times New Roman" w:cs="Times New Roman"/>
          <w:sz w:val="24"/>
          <w:szCs w:val="24"/>
          <w:lang w:eastAsia="bg-BG"/>
        </w:rPr>
        <w:t xml:space="preserve">труирана над 2600 км. ВиК мрежа на територията на повече от 80 населени места. </w:t>
      </w:r>
      <w:r w:rsidR="00FE121C" w:rsidRPr="00FE121C">
        <w:rPr>
          <w:rFonts w:ascii="Times New Roman" w:eastAsia="Times New Roman" w:hAnsi="Times New Roman" w:cs="Times New Roman"/>
          <w:sz w:val="24"/>
          <w:szCs w:val="24"/>
          <w:lang w:eastAsia="bg-BG"/>
        </w:rPr>
        <w:t>Голям брой проекти за изграждане на канализационна мрежа и ПСОВ са реализирани в крайбрежните черноморски общини и курорти. Те допринасят както за опазване на чистотата на   водите на Черно море, така и за опазва</w:t>
      </w:r>
      <w:r w:rsidR="0050735E">
        <w:rPr>
          <w:rFonts w:ascii="Times New Roman" w:eastAsia="Times New Roman" w:hAnsi="Times New Roman" w:cs="Times New Roman"/>
          <w:sz w:val="24"/>
          <w:szCs w:val="24"/>
          <w:lang w:eastAsia="bg-BG"/>
        </w:rPr>
        <w:t xml:space="preserve">не на крайбрежните екосистеми. </w:t>
      </w:r>
      <w:r w:rsidR="00FE121C" w:rsidRPr="00FE121C">
        <w:rPr>
          <w:rFonts w:ascii="Times New Roman" w:eastAsia="Times New Roman" w:hAnsi="Times New Roman" w:cs="Times New Roman"/>
          <w:sz w:val="24"/>
          <w:szCs w:val="24"/>
          <w:lang w:eastAsia="bg-BG"/>
        </w:rPr>
        <w:t>Важен принос за напредъка по пречистването на отпадъчните води  има Оперативна  програма „Околна среда“ 2007-2013 г.</w:t>
      </w:r>
    </w:p>
    <w:p w:rsidR="00FE121C" w:rsidRPr="00FE121C" w:rsidRDefault="00FE121C" w:rsidP="00FE121C">
      <w:pPr>
        <w:widowControl w:val="0"/>
        <w:autoSpaceDE w:val="0"/>
        <w:autoSpaceDN w:val="0"/>
        <w:adjustRightInd w:val="0"/>
        <w:spacing w:after="0" w:line="360" w:lineRule="auto"/>
        <w:ind w:right="140" w:firstLine="709"/>
        <w:jc w:val="both"/>
        <w:rPr>
          <w:rFonts w:ascii="Times New Roman" w:eastAsia="Times New Roman" w:hAnsi="Times New Roman" w:cs="Times New Roman"/>
          <w:sz w:val="24"/>
          <w:szCs w:val="24"/>
          <w:lang w:eastAsia="bg-BG"/>
        </w:rPr>
      </w:pPr>
      <w:r w:rsidRPr="00FE121C">
        <w:rPr>
          <w:rFonts w:ascii="Times New Roman" w:eastAsia="Times New Roman" w:hAnsi="Times New Roman" w:cs="Times New Roman"/>
          <w:sz w:val="24"/>
          <w:szCs w:val="24"/>
          <w:lang w:eastAsia="bg-BG"/>
        </w:rPr>
        <w:t>Една от основните причини за продължаващия режим на водата в много от населените места в страната е и старата ВиК мрежа, като на места довеждащите водопроводи са изградени преди повече от 40 години и са силно амортизирани. Към 2014 г. с най-голям дял от населението с режим на водоснабдяване  е СЗР- 2,6%, следван от   СИР- 1,4%.</w:t>
      </w:r>
    </w:p>
    <w:p w:rsidR="00FE121C" w:rsidRPr="00FE121C" w:rsidRDefault="00FE121C" w:rsidP="00FE121C">
      <w:pPr>
        <w:widowControl w:val="0"/>
        <w:autoSpaceDE w:val="0"/>
        <w:autoSpaceDN w:val="0"/>
        <w:adjustRightInd w:val="0"/>
        <w:spacing w:after="0" w:line="360" w:lineRule="auto"/>
        <w:ind w:right="140" w:firstLine="709"/>
        <w:jc w:val="both"/>
        <w:rPr>
          <w:rFonts w:ascii="Times New Roman" w:eastAsia="Times New Roman" w:hAnsi="Times New Roman" w:cs="Times New Roman"/>
          <w:sz w:val="24"/>
          <w:szCs w:val="24"/>
          <w:lang w:eastAsia="bg-BG"/>
        </w:rPr>
      </w:pPr>
      <w:r w:rsidRPr="00FE121C">
        <w:rPr>
          <w:rFonts w:ascii="Times New Roman" w:eastAsia="Times New Roman" w:hAnsi="Times New Roman" w:cs="Times New Roman"/>
          <w:sz w:val="24"/>
          <w:szCs w:val="24"/>
          <w:lang w:eastAsia="bg-BG"/>
        </w:rPr>
        <w:t>През периода 2007-2013 г. по</w:t>
      </w:r>
      <w:r w:rsidRPr="00FE121C">
        <w:rPr>
          <w:rFonts w:ascii="Times New Roman" w:eastAsia="Calibri" w:hAnsi="Times New Roman" w:cs="Times New Roman"/>
          <w:sz w:val="24"/>
          <w:szCs w:val="24"/>
        </w:rPr>
        <w:t xml:space="preserve"> оперативната програма за о</w:t>
      </w:r>
      <w:r w:rsidRPr="00FE121C">
        <w:rPr>
          <w:rFonts w:ascii="Times New Roman" w:eastAsia="Times New Roman" w:hAnsi="Times New Roman" w:cs="Times New Roman"/>
          <w:sz w:val="24"/>
          <w:szCs w:val="24"/>
          <w:lang w:eastAsia="bg-BG"/>
        </w:rPr>
        <w:t>колна среда се изпълниха много мащабни проекти за изграждане и подмяна на остаряла ВиК мрежа, с което значително се  ограничи  риска от наличието на воден режим.</w:t>
      </w:r>
    </w:p>
    <w:p w:rsidR="00FE121C" w:rsidRPr="00FE121C" w:rsidRDefault="00FE121C" w:rsidP="00FE121C">
      <w:pPr>
        <w:widowControl w:val="0"/>
        <w:autoSpaceDE w:val="0"/>
        <w:autoSpaceDN w:val="0"/>
        <w:adjustRightInd w:val="0"/>
        <w:spacing w:after="0" w:line="360" w:lineRule="auto"/>
        <w:ind w:right="140" w:firstLine="709"/>
        <w:jc w:val="both"/>
        <w:rPr>
          <w:rFonts w:ascii="Times New Roman" w:eastAsia="Times New Roman" w:hAnsi="Times New Roman" w:cs="Times New Roman"/>
          <w:sz w:val="24"/>
          <w:szCs w:val="24"/>
          <w:lang w:eastAsia="bg-BG"/>
        </w:rPr>
      </w:pPr>
      <w:r w:rsidRPr="00FE121C">
        <w:rPr>
          <w:rFonts w:ascii="Times New Roman" w:eastAsia="Times New Roman" w:hAnsi="Times New Roman" w:cs="Times New Roman"/>
          <w:sz w:val="24"/>
          <w:szCs w:val="24"/>
          <w:lang w:eastAsia="bg-BG"/>
        </w:rPr>
        <w:t>След 2005 г. до 2013 г. се наблюдава увеличение с 26% на броя на населението, обслужено  с канализация и третиране на отпадните води. С най-голям напредък  в периода са Южен централен район - нарастване със 7%, и Северозападен и Югоизточен район с 6 %. Районите, в които е достигнато най-високо ниво на обслужване на населението от канализационните системи и третирането на отпадъчните води, са Югозападен район - 89% и Североизточен район - 74%, по данни на Евростат за 2013 г. Северозападният район изостава в сравнение с останалите райони с 59% обслужено население, като с най-голямо изоставане към 2014 г. е област Видин - 0% обслужено население.</w:t>
      </w:r>
    </w:p>
    <w:p w:rsidR="00FE121C" w:rsidRPr="00FE121C" w:rsidRDefault="00FE121C" w:rsidP="00FE121C">
      <w:pPr>
        <w:widowControl w:val="0"/>
        <w:autoSpaceDE w:val="0"/>
        <w:autoSpaceDN w:val="0"/>
        <w:adjustRightInd w:val="0"/>
        <w:spacing w:after="0" w:line="360" w:lineRule="auto"/>
        <w:ind w:right="140" w:firstLine="709"/>
        <w:jc w:val="both"/>
        <w:rPr>
          <w:rFonts w:ascii="Times New Roman" w:eastAsia="Times New Roman" w:hAnsi="Times New Roman" w:cs="Times New Roman"/>
          <w:sz w:val="24"/>
          <w:szCs w:val="24"/>
          <w:lang w:eastAsia="bg-BG"/>
        </w:rPr>
      </w:pPr>
      <w:r w:rsidRPr="00FE121C">
        <w:rPr>
          <w:rFonts w:ascii="Times New Roman" w:eastAsia="Times New Roman" w:hAnsi="Times New Roman" w:cs="Times New Roman"/>
          <w:sz w:val="24"/>
          <w:szCs w:val="24"/>
          <w:lang w:eastAsia="bg-BG"/>
        </w:rPr>
        <w:t>Към изпълнението на този приоритет допринасят и много осъществени проекти, свързани с подобряване и развитие на инфраструктурата за третиране на отпадъци.</w:t>
      </w:r>
      <w:r w:rsidRPr="00FE121C">
        <w:rPr>
          <w:rFonts w:ascii="Calibri" w:eastAsia="Calibri" w:hAnsi="Calibri" w:cs="Times New Roman"/>
        </w:rPr>
        <w:t xml:space="preserve"> </w:t>
      </w:r>
      <w:r w:rsidRPr="00FE121C">
        <w:rPr>
          <w:rFonts w:ascii="Times New Roman" w:eastAsia="Calibri" w:hAnsi="Times New Roman" w:cs="Times New Roman"/>
          <w:sz w:val="24"/>
          <w:szCs w:val="24"/>
        </w:rPr>
        <w:t>Изградени са</w:t>
      </w:r>
      <w:r w:rsidRPr="00FE121C">
        <w:rPr>
          <w:rFonts w:ascii="Calibri" w:eastAsia="Calibri" w:hAnsi="Calibri" w:cs="Times New Roman"/>
        </w:rPr>
        <w:t xml:space="preserve"> </w:t>
      </w:r>
      <w:r w:rsidRPr="00FE121C">
        <w:rPr>
          <w:rFonts w:ascii="Times New Roman" w:eastAsia="Times New Roman" w:hAnsi="Times New Roman" w:cs="Times New Roman"/>
          <w:sz w:val="24"/>
          <w:szCs w:val="24"/>
          <w:lang w:eastAsia="bg-BG"/>
        </w:rPr>
        <w:t xml:space="preserve">регионални системи за управление на отпадъците, а населението, включено в организираните системи за събиране на отпадъци, </w:t>
      </w:r>
      <w:r w:rsidRPr="00FE121C">
        <w:rPr>
          <w:rFonts w:ascii="Times New Roman" w:eastAsia="Times New Roman" w:hAnsi="Times New Roman" w:cs="Times New Roman"/>
          <w:sz w:val="24"/>
          <w:szCs w:val="24"/>
          <w:lang w:eastAsia="bg-BG"/>
        </w:rPr>
        <w:lastRenderedPageBreak/>
        <w:t>многократно нараства спрямо 2005 г. Към 2014 г. относителният дял  на населението, включено в организираните системи за събиране на битовите отпадъци в районите от ниво 2, варира между  99,9% в СЦР и  98,7% в СИР.</w:t>
      </w:r>
    </w:p>
    <w:p w:rsidR="00FE121C" w:rsidRPr="00FE121C" w:rsidRDefault="00FE121C" w:rsidP="00FE121C">
      <w:pPr>
        <w:widowControl w:val="0"/>
        <w:autoSpaceDE w:val="0"/>
        <w:autoSpaceDN w:val="0"/>
        <w:adjustRightInd w:val="0"/>
        <w:spacing w:after="0" w:line="360" w:lineRule="auto"/>
        <w:ind w:right="140" w:firstLine="709"/>
        <w:jc w:val="both"/>
        <w:rPr>
          <w:rFonts w:ascii="Times New Roman" w:eastAsia="Times New Roman" w:hAnsi="Times New Roman" w:cs="Times New Roman"/>
          <w:sz w:val="24"/>
          <w:szCs w:val="24"/>
          <w:lang w:eastAsia="bg-BG"/>
        </w:rPr>
      </w:pPr>
      <w:r w:rsidRPr="00FE121C">
        <w:rPr>
          <w:rFonts w:ascii="Times New Roman" w:eastAsia="Times New Roman" w:hAnsi="Times New Roman" w:cs="Times New Roman"/>
          <w:sz w:val="24"/>
          <w:szCs w:val="24"/>
          <w:lang w:eastAsia="bg-BG"/>
        </w:rPr>
        <w:t>В резултат от изпълнението на проекти за укрепване на свлачища и срутища са  укрепени 23 такива на територията на 14 малки общини, което ще спомогне да бъдат спасени от компрометиране и превръщането им в неизползваеми 9093 метра пътни отсечки. Изпълнените проекти ще осигурят сигурност на транспортните комуникации по засегнатите пътища и регионалната свързаност.</w:t>
      </w:r>
    </w:p>
    <w:p w:rsidR="00FE121C" w:rsidRPr="00FE121C" w:rsidRDefault="00FE121C" w:rsidP="00FE121C">
      <w:pPr>
        <w:widowControl w:val="0"/>
        <w:autoSpaceDE w:val="0"/>
        <w:autoSpaceDN w:val="0"/>
        <w:adjustRightInd w:val="0"/>
        <w:spacing w:after="0" w:line="360" w:lineRule="auto"/>
        <w:ind w:right="140" w:firstLine="709"/>
        <w:jc w:val="both"/>
        <w:rPr>
          <w:rFonts w:ascii="Times New Roman" w:eastAsia="Times New Roman" w:hAnsi="Times New Roman" w:cs="Times New Roman"/>
          <w:sz w:val="24"/>
          <w:szCs w:val="24"/>
          <w:lang w:eastAsia="bg-BG"/>
        </w:rPr>
      </w:pPr>
      <w:r w:rsidRPr="00FE121C">
        <w:rPr>
          <w:rFonts w:ascii="Times New Roman" w:eastAsia="Times New Roman" w:hAnsi="Times New Roman" w:cs="Times New Roman"/>
          <w:sz w:val="24"/>
          <w:szCs w:val="24"/>
          <w:lang w:eastAsia="bg-BG"/>
        </w:rPr>
        <w:t>Общата оценка за изпълнението на приоритет 2 е средна към висока степен.</w:t>
      </w:r>
    </w:p>
    <w:p w:rsidR="00FE121C" w:rsidRPr="00FE121C" w:rsidRDefault="00FE121C" w:rsidP="00FE121C">
      <w:pPr>
        <w:widowControl w:val="0"/>
        <w:autoSpaceDE w:val="0"/>
        <w:autoSpaceDN w:val="0"/>
        <w:adjustRightInd w:val="0"/>
        <w:spacing w:after="0" w:line="360" w:lineRule="auto"/>
        <w:ind w:right="140" w:firstLine="709"/>
        <w:jc w:val="both"/>
        <w:rPr>
          <w:rFonts w:ascii="Times New Roman" w:eastAsia="Times New Roman" w:hAnsi="Times New Roman" w:cs="Times New Roman"/>
          <w:sz w:val="24"/>
          <w:szCs w:val="24"/>
          <w:lang w:eastAsia="bg-BG"/>
        </w:rPr>
      </w:pPr>
      <w:r w:rsidRPr="00FE121C">
        <w:rPr>
          <w:rFonts w:ascii="Times New Roman" w:eastAsia="Calibri" w:hAnsi="Times New Roman" w:cs="Times New Roman"/>
          <w:sz w:val="24"/>
          <w:szCs w:val="24"/>
          <w:lang w:eastAsia="bg-BG"/>
        </w:rPr>
        <w:t>Ефективното изпълнение на</w:t>
      </w:r>
      <w:r w:rsidRPr="00FE121C">
        <w:rPr>
          <w:rFonts w:ascii="Times New Roman" w:eastAsia="Calibri" w:hAnsi="Times New Roman" w:cs="Times New Roman"/>
          <w:b/>
          <w:sz w:val="24"/>
          <w:szCs w:val="24"/>
          <w:lang w:eastAsia="bg-BG"/>
        </w:rPr>
        <w:t xml:space="preserve"> Приоритет 3 „Подобряване на привлекателността и качеството на живот в регионите и развитие на устойчив туризъм“</w:t>
      </w:r>
      <w:r w:rsidRPr="00FE121C">
        <w:rPr>
          <w:rFonts w:ascii="Times New Roman" w:eastAsia="Calibri" w:hAnsi="Times New Roman" w:cs="Times New Roman"/>
          <w:sz w:val="24"/>
          <w:szCs w:val="24"/>
          <w:lang w:eastAsia="bg-BG"/>
        </w:rPr>
        <w:t xml:space="preserve"> е свързано с подобряване на образователните, социалните, здравните, културните и спортните услуги и съответната инфраструктура, подобряване и благоустрояване на физическата среда, подобряване качеството на човешките ресурси, чрез повишаване на квалификацията и образованието им, интеграция на лицата в неравностойно положение към образование и пазара на труда, постигане на устойчиво развитие на туризма в районите, опазване и валоризиране на природното и културното наследство. Напредъкът за подобряване на туристическите атракции и свързаната с тях инфраструктура отчитаме на база успешно изпълнените проекти през изминалия програмен период, което е допринесло за развитие на националния и регионалния туристически продукт и маркетинг на дестинациите. </w:t>
      </w:r>
      <w:r w:rsidRPr="00FE121C">
        <w:rPr>
          <w:rFonts w:ascii="Times New Roman" w:eastAsia="Times New Roman" w:hAnsi="Times New Roman" w:cs="Times New Roman"/>
          <w:sz w:val="24"/>
          <w:szCs w:val="24"/>
          <w:lang w:eastAsia="bg-BG"/>
        </w:rPr>
        <w:t>По под-приоритет „</w:t>
      </w:r>
      <w:r w:rsidRPr="00FE121C">
        <w:rPr>
          <w:rFonts w:ascii="Times New Roman" w:eastAsia="Calibri" w:hAnsi="Times New Roman" w:cs="Times New Roman"/>
          <w:sz w:val="24"/>
          <w:szCs w:val="24"/>
        </w:rPr>
        <w:t xml:space="preserve">Подобряване на туристическите атракции и свързаната с тях инфраструктура“ са сключени 72 договора, от които 69 са успешно приключени. </w:t>
      </w:r>
      <w:r w:rsidRPr="00FE121C">
        <w:rPr>
          <w:rFonts w:ascii="Times New Roman" w:eastAsia="Times New Roman" w:hAnsi="Times New Roman" w:cs="Times New Roman"/>
          <w:sz w:val="24"/>
          <w:szCs w:val="24"/>
          <w:lang w:eastAsia="bg-BG"/>
        </w:rPr>
        <w:t xml:space="preserve">Договорени са 209 384 736 лв., а реално са изплатени 200 263 427 лв. </w:t>
      </w:r>
    </w:p>
    <w:p w:rsidR="00FE121C" w:rsidRPr="00FE121C" w:rsidRDefault="00FE121C" w:rsidP="00FE121C">
      <w:pPr>
        <w:spacing w:after="0" w:line="360" w:lineRule="auto"/>
        <w:ind w:firstLine="708"/>
        <w:jc w:val="both"/>
        <w:rPr>
          <w:rFonts w:ascii="Times New Roman" w:eastAsia="Calibri" w:hAnsi="Times New Roman" w:cs="Times New Roman"/>
          <w:sz w:val="24"/>
          <w:szCs w:val="24"/>
          <w:lang w:eastAsia="bg-BG"/>
        </w:rPr>
      </w:pPr>
      <w:r w:rsidRPr="007578C2">
        <w:rPr>
          <w:rFonts w:ascii="Times New Roman" w:eastAsia="Calibri" w:hAnsi="Times New Roman" w:cs="Times New Roman"/>
          <w:sz w:val="24"/>
          <w:szCs w:val="24"/>
          <w:lang w:eastAsia="bg-BG"/>
        </w:rPr>
        <w:t>Изпълнени са и много мерки и дейности  за подпомагане развитието на интегриран селски туризъм и разнообразяване и подобряване на туристическата инфраструктура, атракциите и съоръжения за посетители в селските райони.</w:t>
      </w:r>
      <w:r w:rsidRPr="007578C2">
        <w:rPr>
          <w:rFonts w:ascii="Times New Roman" w:eastAsia="Calibri" w:hAnsi="Times New Roman" w:cs="Times New Roman"/>
          <w:sz w:val="24"/>
          <w:szCs w:val="24"/>
        </w:rPr>
        <w:t xml:space="preserve"> По данни за изпълнението на ПРСР за 2014г., </w:t>
      </w:r>
      <w:r w:rsidR="00081B78" w:rsidRPr="007578C2">
        <w:rPr>
          <w:rFonts w:ascii="Times New Roman" w:eastAsia="Calibri" w:hAnsi="Times New Roman" w:cs="Times New Roman"/>
          <w:sz w:val="24"/>
          <w:szCs w:val="24"/>
          <w:lang w:eastAsia="bg-BG"/>
        </w:rPr>
        <w:t>к</w:t>
      </w:r>
      <w:r w:rsidRPr="007578C2">
        <w:rPr>
          <w:rFonts w:ascii="Times New Roman" w:eastAsia="Calibri" w:hAnsi="Times New Roman" w:cs="Times New Roman"/>
          <w:sz w:val="24"/>
          <w:szCs w:val="24"/>
          <w:lang w:eastAsia="bg-BG"/>
        </w:rPr>
        <w:t xml:space="preserve">ъм 31.12.2014 г. са сключени </w:t>
      </w:r>
      <w:r w:rsidRPr="007578C2">
        <w:rPr>
          <w:rFonts w:ascii="Times New Roman" w:eastAsia="Calibri" w:hAnsi="Times New Roman" w:cs="Times New Roman"/>
          <w:sz w:val="24"/>
          <w:szCs w:val="24"/>
        </w:rPr>
        <w:t>192 договора за 28,2 млн. евро публични разходи</w:t>
      </w:r>
      <w:r w:rsidR="00915906" w:rsidRPr="007578C2">
        <w:rPr>
          <w:rFonts w:ascii="Times New Roman" w:eastAsia="Calibri" w:hAnsi="Times New Roman" w:cs="Times New Roman"/>
          <w:sz w:val="24"/>
          <w:szCs w:val="24"/>
        </w:rPr>
        <w:t xml:space="preserve"> за на</w:t>
      </w:r>
      <w:r w:rsidR="00915906" w:rsidRPr="007578C2">
        <w:rPr>
          <w:rFonts w:ascii="Times New Roman" w:eastAsia="Calibri" w:hAnsi="Times New Roman" w:cs="Times New Roman"/>
          <w:sz w:val="24"/>
          <w:szCs w:val="24"/>
          <w:lang w:eastAsia="bg-BG"/>
        </w:rPr>
        <w:t>сърчаване на туристическите дейности</w:t>
      </w:r>
      <w:r w:rsidRPr="007578C2">
        <w:rPr>
          <w:rFonts w:ascii="Times New Roman" w:eastAsia="Calibri" w:hAnsi="Times New Roman" w:cs="Times New Roman"/>
          <w:sz w:val="24"/>
          <w:szCs w:val="24"/>
        </w:rPr>
        <w:t>.</w:t>
      </w:r>
      <w:r w:rsidRPr="00FE121C">
        <w:rPr>
          <w:rFonts w:ascii="Times New Roman" w:eastAsia="Calibri" w:hAnsi="Times New Roman" w:cs="Times New Roman"/>
          <w:sz w:val="24"/>
          <w:szCs w:val="24"/>
        </w:rPr>
        <w:t xml:space="preserve"> </w:t>
      </w:r>
    </w:p>
    <w:p w:rsidR="00FE121C" w:rsidRPr="00FE121C" w:rsidRDefault="00FE121C" w:rsidP="00FE121C">
      <w:pPr>
        <w:spacing w:after="0" w:line="360" w:lineRule="auto"/>
        <w:ind w:firstLine="708"/>
        <w:jc w:val="both"/>
        <w:rPr>
          <w:rFonts w:ascii="Times New Roman" w:eastAsia="Calibri" w:hAnsi="Times New Roman" w:cs="Times New Roman"/>
          <w:sz w:val="24"/>
          <w:szCs w:val="24"/>
          <w:lang w:eastAsia="bg-BG"/>
        </w:rPr>
      </w:pPr>
      <w:r w:rsidRPr="00FE121C">
        <w:rPr>
          <w:rFonts w:ascii="Times New Roman" w:eastAsia="Calibri" w:hAnsi="Times New Roman" w:cs="Times New Roman"/>
          <w:sz w:val="24"/>
          <w:szCs w:val="24"/>
          <w:lang w:eastAsia="bg-BG"/>
        </w:rPr>
        <w:t xml:space="preserve">В периода 2005-2015г. броят на нощувките в местата за туризъм се е увеличил с 81 %. Принос за това има оперативната програма за регионално развитие, която подкрепи развитието на туристическите атракции в районите. Принос имат и инвестициите за изграждане на автомагистралите в страната и ремонт на първокласните пътища, както и  пускането в експлоатация на новото летище София, които безспорно </w:t>
      </w:r>
      <w:r w:rsidRPr="00FE121C">
        <w:rPr>
          <w:rFonts w:ascii="Times New Roman" w:eastAsia="Calibri" w:hAnsi="Times New Roman" w:cs="Times New Roman"/>
          <w:sz w:val="24"/>
          <w:szCs w:val="24"/>
          <w:lang w:eastAsia="bg-BG"/>
        </w:rPr>
        <w:lastRenderedPageBreak/>
        <w:t>са подобрили значително условията за туризъм. Откриването на нови ГКПП  към Гърция също е допринесло за нарастването на туристическия поток между двете държави. С най-много нощувки сред районите от ниво 2 е Югоизточния – 2 137 025, следван от Южния централен - 1 739 061 и Югозападния - 1 730 730 бр.</w:t>
      </w:r>
    </w:p>
    <w:p w:rsidR="00FE121C" w:rsidRPr="00FE121C" w:rsidRDefault="00FE121C" w:rsidP="00FE121C">
      <w:pPr>
        <w:spacing w:after="0" w:line="360" w:lineRule="auto"/>
        <w:ind w:firstLine="709"/>
        <w:jc w:val="both"/>
        <w:rPr>
          <w:rFonts w:ascii="Times New Roman" w:eastAsia="Calibri" w:hAnsi="Times New Roman" w:cs="Times New Roman"/>
          <w:sz w:val="24"/>
          <w:szCs w:val="24"/>
          <w:lang w:eastAsia="bg-BG"/>
        </w:rPr>
      </w:pPr>
      <w:r w:rsidRPr="00FE121C">
        <w:rPr>
          <w:rFonts w:ascii="Times New Roman" w:eastAsia="Calibri" w:hAnsi="Times New Roman" w:cs="Times New Roman"/>
          <w:sz w:val="24"/>
          <w:szCs w:val="24"/>
          <w:lang w:eastAsia="bg-BG"/>
        </w:rPr>
        <w:t xml:space="preserve">Лечебните заведения за болнична и за извънболнична помощ на територията на страната са се увеличили. През 2015 г., общият брой на заведенията за болнична помощ възлиза на 348, което е с 40 повече, спрямо техния брой през 2005 г. Новооткритите лечебни заведения за извънболнична помощ  по райони са, както следва: СЗР – 36, СЦР – 29, СИЗ – 20, ЮИР – 64, ЮЗР - 171, ЮЦР – 59 бр. </w:t>
      </w:r>
    </w:p>
    <w:p w:rsidR="00FE121C" w:rsidRPr="00FE121C" w:rsidRDefault="00FE121C" w:rsidP="00FE121C">
      <w:pPr>
        <w:spacing w:after="0" w:line="360" w:lineRule="auto"/>
        <w:ind w:firstLine="708"/>
        <w:jc w:val="both"/>
        <w:rPr>
          <w:rFonts w:ascii="Times New Roman" w:eastAsia="Calibri" w:hAnsi="Times New Roman" w:cs="Times New Roman"/>
          <w:sz w:val="24"/>
          <w:szCs w:val="24"/>
          <w:lang w:eastAsia="bg-BG"/>
        </w:rPr>
      </w:pPr>
      <w:r w:rsidRPr="00FE121C">
        <w:rPr>
          <w:rFonts w:ascii="Times New Roman" w:eastAsia="Calibri" w:hAnsi="Times New Roman" w:cs="Times New Roman"/>
          <w:sz w:val="24"/>
          <w:szCs w:val="24"/>
          <w:lang w:eastAsia="bg-BG"/>
        </w:rPr>
        <w:t>По отношение подобряването на образователните услуги през анализирания период  са изпълнени проекти</w:t>
      </w:r>
      <w:r w:rsidRPr="00FE121C">
        <w:rPr>
          <w:rFonts w:ascii="Calibri" w:eastAsia="Calibri" w:hAnsi="Calibri" w:cs="Times New Roman"/>
        </w:rPr>
        <w:t xml:space="preserve"> </w:t>
      </w:r>
      <w:r w:rsidRPr="00FE121C">
        <w:rPr>
          <w:rFonts w:ascii="Times New Roman" w:eastAsia="Calibri" w:hAnsi="Times New Roman" w:cs="Times New Roman"/>
          <w:sz w:val="24"/>
          <w:szCs w:val="24"/>
          <w:lang w:eastAsia="bg-BG"/>
        </w:rPr>
        <w:t>за подобряване на качеството на образованието и обучението в съответствие с потребностите на пазара на труда, за изграждане на икономика, основана на знанието.</w:t>
      </w:r>
    </w:p>
    <w:p w:rsidR="00FE121C" w:rsidRPr="00FE121C" w:rsidRDefault="00FE121C" w:rsidP="00FE121C">
      <w:pPr>
        <w:spacing w:after="0" w:line="360" w:lineRule="auto"/>
        <w:ind w:firstLine="708"/>
        <w:jc w:val="both"/>
        <w:rPr>
          <w:rFonts w:ascii="Times New Roman" w:eastAsia="Calibri" w:hAnsi="Times New Roman" w:cs="Times New Roman"/>
          <w:sz w:val="24"/>
          <w:szCs w:val="24"/>
          <w:lang w:eastAsia="bg-BG"/>
        </w:rPr>
      </w:pPr>
      <w:r w:rsidRPr="00FE121C">
        <w:rPr>
          <w:rFonts w:ascii="Times New Roman" w:eastAsia="Calibri" w:hAnsi="Times New Roman" w:cs="Times New Roman"/>
          <w:sz w:val="24"/>
          <w:szCs w:val="24"/>
          <w:lang w:eastAsia="bg-BG"/>
        </w:rPr>
        <w:t>Изпълнението на приоритета по отношение инвестициите в ефективни мерки на пазара на труда се осигурява основно от успешно приключилите проекти по ОПРЧР 2007-2013 г.</w:t>
      </w:r>
      <w:r w:rsidRPr="00FE121C">
        <w:rPr>
          <w:rFonts w:ascii="Calibri" w:eastAsia="Calibri" w:hAnsi="Calibri" w:cs="Times New Roman"/>
        </w:rPr>
        <w:t xml:space="preserve"> </w:t>
      </w:r>
      <w:r w:rsidRPr="00FE121C">
        <w:rPr>
          <w:rFonts w:ascii="Times New Roman" w:eastAsia="Calibri" w:hAnsi="Times New Roman" w:cs="Times New Roman"/>
          <w:sz w:val="24"/>
          <w:szCs w:val="24"/>
        </w:rPr>
        <w:t>Проектите са насочени към</w:t>
      </w:r>
      <w:r w:rsidRPr="00FE121C">
        <w:rPr>
          <w:rFonts w:ascii="Calibri" w:eastAsia="Calibri" w:hAnsi="Calibri" w:cs="Times New Roman"/>
        </w:rPr>
        <w:t xml:space="preserve"> </w:t>
      </w:r>
      <w:r w:rsidRPr="00FE121C">
        <w:rPr>
          <w:rFonts w:ascii="Times New Roman" w:eastAsia="Calibri" w:hAnsi="Times New Roman" w:cs="Times New Roman"/>
          <w:sz w:val="24"/>
          <w:szCs w:val="24"/>
          <w:lang w:eastAsia="bg-BG"/>
        </w:rPr>
        <w:t>повишаване  на икономическата активност и развитие на пазара на труда, насърчаващ включването, повишаване на производителността и адаптивността на заетите</w:t>
      </w:r>
      <w:r w:rsidRPr="00FE121C">
        <w:rPr>
          <w:rFonts w:ascii="Calibri" w:eastAsia="Calibri" w:hAnsi="Calibri" w:cs="Times New Roman"/>
        </w:rPr>
        <w:t>, и</w:t>
      </w:r>
      <w:r w:rsidRPr="00FE121C">
        <w:rPr>
          <w:rFonts w:ascii="Times New Roman" w:eastAsia="Calibri" w:hAnsi="Times New Roman" w:cs="Times New Roman"/>
          <w:sz w:val="24"/>
          <w:szCs w:val="24"/>
          <w:lang w:eastAsia="bg-BG"/>
        </w:rPr>
        <w:t>нтегриране на уязвимите групи на пазара на труда,</w:t>
      </w:r>
      <w:r w:rsidRPr="00FE121C">
        <w:rPr>
          <w:rFonts w:ascii="Calibri" w:eastAsia="Calibri" w:hAnsi="Calibri" w:cs="Times New Roman"/>
        </w:rPr>
        <w:t xml:space="preserve"> </w:t>
      </w:r>
      <w:r w:rsidRPr="00FE121C">
        <w:rPr>
          <w:rFonts w:ascii="Times New Roman" w:eastAsia="Calibri" w:hAnsi="Times New Roman" w:cs="Times New Roman"/>
          <w:sz w:val="24"/>
          <w:szCs w:val="24"/>
          <w:lang w:eastAsia="bg-BG"/>
        </w:rPr>
        <w:t>заетост чрез развитие на предприемачеството. Напредък се отбелязва по отношение развитието на комплексното обслужване на граждани от уязвимите групи и индивидуализиране на услугите.</w:t>
      </w:r>
    </w:p>
    <w:p w:rsidR="00FE121C" w:rsidRPr="00FE121C" w:rsidRDefault="00FE121C" w:rsidP="00FE121C">
      <w:pPr>
        <w:spacing w:after="0" w:line="360" w:lineRule="auto"/>
        <w:ind w:firstLine="708"/>
        <w:jc w:val="both"/>
        <w:rPr>
          <w:rFonts w:ascii="Times New Roman" w:eastAsia="Calibri" w:hAnsi="Times New Roman" w:cs="Times New Roman"/>
          <w:sz w:val="24"/>
          <w:szCs w:val="24"/>
          <w:lang w:eastAsia="bg-BG"/>
        </w:rPr>
      </w:pPr>
      <w:r w:rsidRPr="00FE121C">
        <w:rPr>
          <w:rFonts w:ascii="Times New Roman" w:eastAsia="Calibri" w:hAnsi="Times New Roman" w:cs="Times New Roman"/>
          <w:sz w:val="24"/>
          <w:szCs w:val="24"/>
          <w:lang w:eastAsia="bg-BG"/>
        </w:rPr>
        <w:t>На основа на активните мерки на пазара на труда заетостта на населението в районите от ниво 2 на възраст 20-64 г. е нараснала с 3,1% до 6,6%. Към 2015 г. тя е най-висока в  Югозападен район - 72,2%, а най-ниска в Северозападния район - 60,1%. В периода на действие на НСРР 2005-2015 г. се е увеличил и делът на  заетите на възраст 55-64, като най-високото ниво е в ЮЗР -  57,4%, а най-ниското е в СЗР - 49,2% и СЦР - 49,5%.</w:t>
      </w:r>
    </w:p>
    <w:p w:rsidR="00CC42C3" w:rsidRPr="007578C2" w:rsidRDefault="00FE121C" w:rsidP="00CC42C3">
      <w:pPr>
        <w:spacing w:after="0" w:line="360" w:lineRule="auto"/>
        <w:ind w:firstLine="708"/>
        <w:jc w:val="both"/>
        <w:rPr>
          <w:rFonts w:ascii="Times New Roman" w:eastAsia="Calibri" w:hAnsi="Times New Roman" w:cs="Times New Roman"/>
          <w:sz w:val="24"/>
          <w:szCs w:val="24"/>
          <w:lang w:eastAsia="bg-BG"/>
        </w:rPr>
      </w:pPr>
      <w:r w:rsidRPr="00FE121C">
        <w:rPr>
          <w:rFonts w:ascii="Times New Roman" w:eastAsia="Calibri" w:hAnsi="Times New Roman" w:cs="Times New Roman"/>
          <w:sz w:val="24"/>
          <w:szCs w:val="24"/>
          <w:lang w:eastAsia="bg-BG"/>
        </w:rPr>
        <w:t>Наблюдава се високо ниво на младежка безработица, като решаването на проблема следва да е един от приоритетите в политиката по заетостта в дългосрочен план.</w:t>
      </w:r>
      <w:r w:rsidR="00CC42C3">
        <w:rPr>
          <w:rFonts w:ascii="Times New Roman" w:eastAsia="Calibri" w:hAnsi="Times New Roman" w:cs="Times New Roman"/>
          <w:sz w:val="24"/>
          <w:szCs w:val="24"/>
          <w:lang w:eastAsia="bg-BG"/>
        </w:rPr>
        <w:t xml:space="preserve"> </w:t>
      </w:r>
      <w:r w:rsidR="00CC42C3" w:rsidRPr="007578C2">
        <w:rPr>
          <w:rFonts w:ascii="Times New Roman" w:eastAsia="Calibri" w:hAnsi="Times New Roman" w:cs="Times New Roman"/>
          <w:sz w:val="24"/>
          <w:szCs w:val="24"/>
          <w:lang w:eastAsia="bg-BG"/>
        </w:rPr>
        <w:t>В периода 2005-2008</w:t>
      </w:r>
      <w:r w:rsidR="009E3F05" w:rsidRPr="007578C2">
        <w:rPr>
          <w:rFonts w:ascii="Times New Roman" w:eastAsia="Calibri" w:hAnsi="Times New Roman" w:cs="Times New Roman"/>
          <w:sz w:val="24"/>
          <w:szCs w:val="24"/>
          <w:lang w:eastAsia="bg-BG"/>
        </w:rPr>
        <w:t xml:space="preserve"> </w:t>
      </w:r>
      <w:r w:rsidR="00CC42C3" w:rsidRPr="007578C2">
        <w:rPr>
          <w:rFonts w:ascii="Times New Roman" w:eastAsia="Calibri" w:hAnsi="Times New Roman" w:cs="Times New Roman"/>
          <w:sz w:val="24"/>
          <w:szCs w:val="24"/>
          <w:lang w:eastAsia="bg-BG"/>
        </w:rPr>
        <w:t xml:space="preserve">г. коефициентът на младежка безработица (15 – 24 г.) намалява от 22.3% през 2005 г. той достига до 12.1 % през 2008 г. Прегледът на данните за България показва, че по време на силния за българската икономика период 2006-2009 г. нивото на младежка безработица в България пада под средното за ЕС. С идването на кризата то отново се покачва, като през 2012 и 2013 г. се стабилизира на ниво с 5 </w:t>
      </w:r>
      <w:r w:rsidR="00CC42C3" w:rsidRPr="007578C2">
        <w:rPr>
          <w:rFonts w:ascii="Times New Roman" w:eastAsia="Calibri" w:hAnsi="Times New Roman" w:cs="Times New Roman"/>
          <w:sz w:val="24"/>
          <w:szCs w:val="24"/>
          <w:lang w:eastAsia="bg-BG"/>
        </w:rPr>
        <w:lastRenderedPageBreak/>
        <w:t>процентни пункта по-високо от средното за 28-те страни членки. Според данните на Евростат за 2014 г., средномесечното равнище на младежка безработица до 24 г. в България е 23.6% и страната е на дванадесето място от общо 14 държави с равнище над средното за Евросъюза (ЕС-28), което е 22.1%.</w:t>
      </w:r>
    </w:p>
    <w:p w:rsidR="00FE121C" w:rsidRPr="00FE121C" w:rsidRDefault="00CC42C3" w:rsidP="00CC42C3">
      <w:pPr>
        <w:spacing w:after="0" w:line="360" w:lineRule="auto"/>
        <w:ind w:firstLine="708"/>
        <w:jc w:val="both"/>
        <w:rPr>
          <w:rFonts w:ascii="Times New Roman" w:eastAsia="Calibri" w:hAnsi="Times New Roman" w:cs="Times New Roman"/>
          <w:sz w:val="24"/>
          <w:szCs w:val="24"/>
          <w:lang w:eastAsia="bg-BG"/>
        </w:rPr>
      </w:pPr>
      <w:r w:rsidRPr="007578C2">
        <w:rPr>
          <w:rFonts w:ascii="Times New Roman" w:eastAsia="Calibri" w:hAnsi="Times New Roman" w:cs="Times New Roman"/>
          <w:sz w:val="24"/>
          <w:szCs w:val="24"/>
          <w:lang w:eastAsia="bg-BG"/>
        </w:rPr>
        <w:t>Ниският процент на заетост сред младите хора  е резултат главно на ниската икономическа активност, тъй като те все още са в процес</w:t>
      </w:r>
      <w:r w:rsidR="00D17909" w:rsidRPr="007578C2">
        <w:rPr>
          <w:rFonts w:ascii="Times New Roman" w:eastAsia="Calibri" w:hAnsi="Times New Roman" w:cs="Times New Roman"/>
          <w:sz w:val="24"/>
          <w:szCs w:val="24"/>
          <w:lang w:eastAsia="bg-BG"/>
        </w:rPr>
        <w:t>а</w:t>
      </w:r>
      <w:r w:rsidRPr="007578C2">
        <w:rPr>
          <w:rFonts w:ascii="Times New Roman" w:eastAsia="Calibri" w:hAnsi="Times New Roman" w:cs="Times New Roman"/>
          <w:sz w:val="24"/>
          <w:szCs w:val="24"/>
          <w:lang w:eastAsia="bg-BG"/>
        </w:rPr>
        <w:t xml:space="preserve"> на </w:t>
      </w:r>
      <w:r w:rsidR="009E3F05" w:rsidRPr="007578C2">
        <w:rPr>
          <w:rFonts w:ascii="Times New Roman" w:eastAsia="Calibri" w:hAnsi="Times New Roman" w:cs="Times New Roman"/>
          <w:sz w:val="24"/>
          <w:szCs w:val="24"/>
          <w:lang w:eastAsia="bg-BG"/>
        </w:rPr>
        <w:t>обучението си и не работят през това време</w:t>
      </w:r>
      <w:r w:rsidRPr="007578C2">
        <w:rPr>
          <w:rFonts w:ascii="Times New Roman" w:eastAsia="Calibri" w:hAnsi="Times New Roman" w:cs="Times New Roman"/>
          <w:sz w:val="24"/>
          <w:szCs w:val="24"/>
          <w:lang w:eastAsia="bg-BG"/>
        </w:rPr>
        <w:t xml:space="preserve">. </w:t>
      </w:r>
      <w:r w:rsidRPr="007578C2">
        <w:rPr>
          <w:rFonts w:ascii="Times New Roman" w:eastAsia="Calibri" w:hAnsi="Times New Roman" w:cs="Times New Roman"/>
          <w:bCs/>
          <w:sz w:val="24"/>
          <w:szCs w:val="24"/>
          <w:lang w:eastAsia="bg-BG"/>
        </w:rPr>
        <w:t xml:space="preserve">По-ниската производителност на труда </w:t>
      </w:r>
      <w:r w:rsidRPr="007578C2">
        <w:rPr>
          <w:rFonts w:ascii="Times New Roman" w:eastAsia="Calibri" w:hAnsi="Times New Roman" w:cs="Times New Roman"/>
          <w:sz w:val="24"/>
          <w:szCs w:val="24"/>
          <w:lang w:eastAsia="bg-BG"/>
        </w:rPr>
        <w:t xml:space="preserve">на младите е следствие най-вече от липса на практически опит, но също така и от разминаването между нуждите на бизнеса и </w:t>
      </w:r>
      <w:r w:rsidRPr="007578C2">
        <w:rPr>
          <w:rFonts w:ascii="Times New Roman" w:eastAsia="Calibri" w:hAnsi="Times New Roman" w:cs="Times New Roman"/>
          <w:bCs/>
          <w:sz w:val="24"/>
          <w:szCs w:val="24"/>
          <w:lang w:eastAsia="bg-BG"/>
        </w:rPr>
        <w:t>качеството на образователния продукт</w:t>
      </w:r>
      <w:r w:rsidRPr="007578C2">
        <w:rPr>
          <w:rFonts w:ascii="Times New Roman" w:eastAsia="Calibri" w:hAnsi="Times New Roman" w:cs="Times New Roman"/>
          <w:sz w:val="24"/>
          <w:szCs w:val="24"/>
          <w:lang w:eastAsia="bg-BG"/>
        </w:rPr>
        <w:t xml:space="preserve">. Много често младежката безработица е пряко свързана и с определени социални групи, като етническите малцинства, отпадналите от образование (съответно нискообразованите) и жителите на по-бедни и изолирани райони. В резултат на кумулативния ефект на тези характеристики и изброените по-горе фактори, се стига до </w:t>
      </w:r>
      <w:r w:rsidRPr="007578C2">
        <w:rPr>
          <w:rFonts w:ascii="Times New Roman" w:eastAsia="Calibri" w:hAnsi="Times New Roman" w:cs="Times New Roman"/>
          <w:bCs/>
          <w:sz w:val="24"/>
          <w:szCs w:val="24"/>
          <w:lang w:eastAsia="bg-BG"/>
        </w:rPr>
        <w:t xml:space="preserve">намаляване на трудовата и социална мобилност </w:t>
      </w:r>
      <w:r w:rsidRPr="007578C2">
        <w:rPr>
          <w:rFonts w:ascii="Times New Roman" w:eastAsia="Calibri" w:hAnsi="Times New Roman" w:cs="Times New Roman"/>
          <w:sz w:val="24"/>
          <w:szCs w:val="24"/>
          <w:lang w:eastAsia="bg-BG"/>
        </w:rPr>
        <w:t>сред младите хора.</w:t>
      </w:r>
      <w:r w:rsidRPr="00CC42C3">
        <w:rPr>
          <w:rFonts w:ascii="Times New Roman" w:eastAsia="Calibri" w:hAnsi="Times New Roman" w:cs="Times New Roman"/>
          <w:sz w:val="24"/>
          <w:szCs w:val="24"/>
          <w:lang w:eastAsia="bg-BG"/>
        </w:rPr>
        <w:t xml:space="preserve"> </w:t>
      </w:r>
    </w:p>
    <w:p w:rsidR="00FE121C" w:rsidRPr="00FE121C" w:rsidRDefault="00FE121C" w:rsidP="00FE121C">
      <w:pPr>
        <w:spacing w:after="0" w:line="360" w:lineRule="auto"/>
        <w:ind w:firstLine="708"/>
        <w:jc w:val="both"/>
        <w:rPr>
          <w:rFonts w:ascii="Times New Roman" w:eastAsia="Calibri" w:hAnsi="Times New Roman" w:cs="Times New Roman"/>
          <w:sz w:val="24"/>
          <w:szCs w:val="24"/>
          <w:lang w:eastAsia="bg-BG"/>
        </w:rPr>
      </w:pPr>
      <w:r w:rsidRPr="00FE121C">
        <w:rPr>
          <w:rFonts w:ascii="Times New Roman" w:eastAsia="Calibri" w:hAnsi="Times New Roman" w:cs="Times New Roman"/>
          <w:sz w:val="24"/>
          <w:szCs w:val="24"/>
          <w:lang w:eastAsia="bg-BG"/>
        </w:rPr>
        <w:t>В периода 2005-2015 г. безработицата в районите от ниво 2 е повлияна значително от световната финансова и икономическа криза. С най-висок коефициент на безработица към 2015 г.  по данни на Евростат е Северозападен район 12,1%. В сравнение с 2005 г. намалението на коефициента е с 0,5%.  В четири от останалите райони се наблюдава по-голямо намаление на безработицата, като  към 2015 г. тя е в СЦР - 10,6%, СИР - 10,3%, ЮЗР - 6,7% и ЮЦР - 9,2%. Само в Югоизточен район се констатира увеличение на безработицата спрямо 2005 г., като  към 2015 г. тя е 10,4%.</w:t>
      </w:r>
    </w:p>
    <w:p w:rsidR="00FE121C" w:rsidRPr="00FE121C" w:rsidRDefault="00FE121C" w:rsidP="00FE121C">
      <w:pPr>
        <w:spacing w:after="0" w:line="360" w:lineRule="auto"/>
        <w:ind w:firstLine="708"/>
        <w:jc w:val="both"/>
        <w:rPr>
          <w:rFonts w:ascii="Times New Roman" w:eastAsia="Calibri" w:hAnsi="Times New Roman" w:cs="Times New Roman"/>
          <w:sz w:val="24"/>
          <w:szCs w:val="24"/>
          <w:lang w:eastAsia="bg-BG"/>
        </w:rPr>
      </w:pPr>
      <w:r w:rsidRPr="00FE121C">
        <w:rPr>
          <w:rFonts w:ascii="Times New Roman" w:eastAsia="Calibri" w:hAnsi="Times New Roman" w:cs="Times New Roman"/>
          <w:sz w:val="24"/>
          <w:szCs w:val="24"/>
          <w:lang w:eastAsia="bg-BG"/>
        </w:rPr>
        <w:t>Дългосрочно безработните, които повече от година не са наемани на работа, варират от 9,1% от безработните в Северозападен район до 4,3% от тези в Югозападен район. Липсата на нови инвестиции в Северозападен район е причина за големия брой на дългосрочно безработните. Други причини са ниската им квалификация и професионален опит.</w:t>
      </w:r>
    </w:p>
    <w:p w:rsidR="00FE121C" w:rsidRPr="00FE121C" w:rsidRDefault="00FE121C" w:rsidP="00FE121C">
      <w:pPr>
        <w:spacing w:after="0" w:line="360" w:lineRule="auto"/>
        <w:ind w:firstLine="708"/>
        <w:jc w:val="both"/>
        <w:rPr>
          <w:rFonts w:ascii="Times New Roman" w:eastAsia="Calibri" w:hAnsi="Times New Roman" w:cs="Times New Roman"/>
          <w:sz w:val="24"/>
          <w:szCs w:val="24"/>
          <w:lang w:eastAsia="bg-BG"/>
        </w:rPr>
      </w:pPr>
      <w:r w:rsidRPr="00FE121C">
        <w:rPr>
          <w:rFonts w:ascii="Times New Roman" w:eastAsia="Calibri" w:hAnsi="Times New Roman" w:cs="Times New Roman"/>
          <w:sz w:val="24"/>
          <w:szCs w:val="24"/>
          <w:lang w:eastAsia="bg-BG"/>
        </w:rPr>
        <w:t xml:space="preserve">Нито един от районите не е достигнал целевата стойност на индикатора за заетост, въпреки нарастването на заетостта. </w:t>
      </w:r>
    </w:p>
    <w:p w:rsidR="00FE121C" w:rsidRPr="00FE121C" w:rsidRDefault="00FE121C" w:rsidP="00FE121C">
      <w:pPr>
        <w:spacing w:after="0" w:line="360" w:lineRule="auto"/>
        <w:ind w:firstLine="708"/>
        <w:jc w:val="both"/>
        <w:rPr>
          <w:rFonts w:ascii="Times New Roman" w:eastAsia="Calibri" w:hAnsi="Times New Roman" w:cs="Times New Roman"/>
          <w:sz w:val="24"/>
          <w:szCs w:val="24"/>
          <w:lang w:eastAsia="bg-BG"/>
        </w:rPr>
      </w:pPr>
      <w:r w:rsidRPr="00FE121C">
        <w:rPr>
          <w:rFonts w:ascii="Times New Roman" w:eastAsia="Calibri" w:hAnsi="Times New Roman" w:cs="Times New Roman"/>
          <w:sz w:val="24"/>
          <w:szCs w:val="24"/>
          <w:lang w:eastAsia="bg-BG"/>
        </w:rPr>
        <w:t>Общата оценка за напредъка по изпълнението на приоритета е средна.</w:t>
      </w:r>
    </w:p>
    <w:p w:rsidR="00FE121C" w:rsidRPr="00FE121C" w:rsidRDefault="00FE121C" w:rsidP="00FE121C">
      <w:pPr>
        <w:spacing w:after="0" w:line="360" w:lineRule="auto"/>
        <w:ind w:firstLine="708"/>
        <w:jc w:val="both"/>
        <w:rPr>
          <w:rFonts w:ascii="Times New Roman" w:eastAsia="Calibri" w:hAnsi="Times New Roman" w:cs="Times New Roman"/>
          <w:sz w:val="24"/>
          <w:szCs w:val="24"/>
          <w:lang w:eastAsia="bg-BG"/>
        </w:rPr>
      </w:pPr>
      <w:r w:rsidRPr="00FE121C">
        <w:rPr>
          <w:rFonts w:ascii="Times New Roman" w:eastAsia="Calibri" w:hAnsi="Times New Roman" w:cs="Times New Roman"/>
          <w:sz w:val="24"/>
          <w:szCs w:val="24"/>
          <w:lang w:eastAsia="bg-BG"/>
        </w:rPr>
        <w:t xml:space="preserve">Ефективността на изпълнение на </w:t>
      </w:r>
      <w:r w:rsidRPr="00FE121C">
        <w:rPr>
          <w:rFonts w:ascii="Times New Roman" w:eastAsia="Calibri" w:hAnsi="Times New Roman" w:cs="Times New Roman"/>
          <w:b/>
          <w:sz w:val="24"/>
          <w:szCs w:val="24"/>
          <w:lang w:eastAsia="bg-BG"/>
        </w:rPr>
        <w:t>Приоритет 4:</w:t>
      </w:r>
      <w:r w:rsidRPr="00FE121C">
        <w:rPr>
          <w:rFonts w:ascii="Times New Roman" w:eastAsia="Calibri" w:hAnsi="Times New Roman" w:cs="Times New Roman"/>
          <w:sz w:val="24"/>
          <w:szCs w:val="24"/>
          <w:lang w:eastAsia="bg-BG"/>
        </w:rPr>
        <w:t xml:space="preserve"> </w:t>
      </w:r>
      <w:r w:rsidRPr="00FE121C">
        <w:rPr>
          <w:rFonts w:ascii="Times New Roman" w:eastAsia="Times New Roman" w:hAnsi="Times New Roman" w:cs="Times New Roman"/>
          <w:b/>
          <w:sz w:val="24"/>
          <w:szCs w:val="24"/>
          <w:lang w:eastAsia="bg-BG"/>
        </w:rPr>
        <w:t xml:space="preserve">Развитие на сътрудничеството за европейско териториално сближаване, задълбочаване на партньорството и добросъседството за постигане на развитие </w:t>
      </w:r>
      <w:r w:rsidRPr="00FE121C">
        <w:rPr>
          <w:rFonts w:ascii="Times New Roman" w:eastAsia="Calibri" w:hAnsi="Times New Roman" w:cs="Times New Roman"/>
          <w:sz w:val="24"/>
          <w:szCs w:val="24"/>
          <w:lang w:eastAsia="bg-BG"/>
        </w:rPr>
        <w:t xml:space="preserve">е висока. Въздействието върху развитието е в посока на подобряване на развитието на трансгранични партньорства със </w:t>
      </w:r>
      <w:r w:rsidRPr="00FE121C">
        <w:rPr>
          <w:rFonts w:ascii="Times New Roman" w:eastAsia="Calibri" w:hAnsi="Times New Roman" w:cs="Times New Roman"/>
          <w:sz w:val="24"/>
          <w:szCs w:val="24"/>
          <w:lang w:eastAsia="bg-BG"/>
        </w:rPr>
        <w:lastRenderedPageBreak/>
        <w:t xml:space="preserve">Сърбия, Румъния, Република Македония, Турция и Гърция, междурегионално и транснационално сътрудничество. </w:t>
      </w:r>
    </w:p>
    <w:p w:rsidR="00FE121C" w:rsidRPr="00FE121C" w:rsidRDefault="00FE121C" w:rsidP="00FE121C">
      <w:pPr>
        <w:spacing w:after="0" w:line="360" w:lineRule="auto"/>
        <w:ind w:firstLine="708"/>
        <w:contextualSpacing/>
        <w:jc w:val="both"/>
        <w:rPr>
          <w:rFonts w:ascii="Times New Roman" w:eastAsia="Times New Roman" w:hAnsi="Times New Roman" w:cs="Times New Roman"/>
          <w:sz w:val="24"/>
          <w:szCs w:val="24"/>
          <w:lang w:eastAsia="bg-BG"/>
        </w:rPr>
      </w:pPr>
      <w:r w:rsidRPr="00FE121C">
        <w:rPr>
          <w:rFonts w:ascii="Times New Roman" w:eastAsia="Times New Roman" w:hAnsi="Times New Roman" w:cs="Times New Roman"/>
          <w:sz w:val="24"/>
          <w:szCs w:val="24"/>
          <w:lang w:eastAsia="bg-BG"/>
        </w:rPr>
        <w:t xml:space="preserve">Основните ползи  от трансграничното сътрудничество  са свързани с интервенциите „хора за хора“, по които се организират много срещи и културни мероприятия на различни общности от пограничните райони, което  води до   разширяване на културния им кръгозор и отваря врати за нови възможности за сътрудничество. </w:t>
      </w:r>
    </w:p>
    <w:p w:rsidR="00FE121C" w:rsidRPr="00FE121C" w:rsidRDefault="00FE121C" w:rsidP="00FE121C">
      <w:pPr>
        <w:spacing w:after="200" w:line="360" w:lineRule="auto"/>
        <w:ind w:firstLine="709"/>
        <w:contextualSpacing/>
        <w:jc w:val="both"/>
        <w:rPr>
          <w:rFonts w:ascii="Times New Roman" w:eastAsia="Calibri" w:hAnsi="Times New Roman" w:cs="Times New Roman"/>
          <w:sz w:val="24"/>
          <w:szCs w:val="24"/>
        </w:rPr>
      </w:pPr>
      <w:r w:rsidRPr="00FE121C">
        <w:rPr>
          <w:rFonts w:ascii="Times New Roman" w:eastAsia="Calibri" w:hAnsi="Times New Roman" w:cs="Times New Roman"/>
          <w:sz w:val="24"/>
          <w:szCs w:val="24"/>
        </w:rPr>
        <w:t>Голяма част от интервенциите са допринесли за развитие на туризма, опазване на околната среда, създаване на нови работни места, културен обмен, подпомагане на МСП в районите за трансгранично сътрудничество, което е  повлияло на цялостното развитие на тези дейности.</w:t>
      </w:r>
    </w:p>
    <w:p w:rsidR="00FE121C" w:rsidRPr="00FE121C" w:rsidRDefault="00FE121C" w:rsidP="00FE121C">
      <w:pPr>
        <w:spacing w:after="200" w:line="360" w:lineRule="auto"/>
        <w:ind w:firstLine="708"/>
        <w:contextualSpacing/>
        <w:jc w:val="both"/>
        <w:rPr>
          <w:rFonts w:ascii="Times New Roman" w:eastAsia="Calibri" w:hAnsi="Times New Roman" w:cs="Times New Roman"/>
          <w:sz w:val="24"/>
          <w:szCs w:val="24"/>
        </w:rPr>
      </w:pPr>
      <w:r w:rsidRPr="00FE121C">
        <w:rPr>
          <w:rFonts w:ascii="Times New Roman" w:eastAsia="Calibri" w:hAnsi="Times New Roman" w:cs="Times New Roman"/>
          <w:sz w:val="24"/>
          <w:szCs w:val="24"/>
        </w:rPr>
        <w:t>Като цяло, програмите за трансгранично сътрудничество са инструменти за малки инвестиционни проекти и техния положителен принос най-ясно се наблюдава на местно ниво, което се отчита с конкретни оценки на въздействието на базата на конкретни извадки. Все пак те също имат принос към общото социално-икономическо развитие на целевите области, като най-голяма е тяхната полза за обмяна на културна информация и развитие на партньорства за бъдещо сътрудничество. Някои от тези партньорства са изградени между 2001 и 2008 г. с помощта на предприсъединителната програма ФАР, която имаше добри традиции в тази област.</w:t>
      </w:r>
    </w:p>
    <w:p w:rsidR="00FE121C" w:rsidRPr="00FE121C" w:rsidRDefault="00FE121C" w:rsidP="00FE121C">
      <w:pPr>
        <w:spacing w:after="0" w:line="360" w:lineRule="auto"/>
        <w:ind w:right="22" w:firstLine="708"/>
        <w:jc w:val="both"/>
        <w:rPr>
          <w:rFonts w:ascii="Times New Roman" w:eastAsia="Times New Roman" w:hAnsi="Times New Roman" w:cs="Times New Roman"/>
          <w:sz w:val="24"/>
          <w:szCs w:val="24"/>
          <w:shd w:val="clear" w:color="auto" w:fill="FEFEFE"/>
          <w:lang w:eastAsia="bg-BG"/>
        </w:rPr>
      </w:pPr>
      <w:r w:rsidRPr="00FE121C">
        <w:rPr>
          <w:rFonts w:ascii="Times New Roman" w:eastAsia="Times New Roman" w:hAnsi="Times New Roman" w:cs="Times New Roman"/>
          <w:sz w:val="24"/>
          <w:szCs w:val="24"/>
          <w:shd w:val="clear" w:color="auto" w:fill="FEFEFE"/>
          <w:lang w:eastAsia="bg-BG"/>
        </w:rPr>
        <w:t>Програмите за трансгранично сътрудничество имат принос в положителните тенденции на развитие на целевите области и са реализирани в синергия с останалите мерки по секторните оперативните програми, съфинансирани от ЕС.</w:t>
      </w:r>
    </w:p>
    <w:p w:rsidR="00FE121C" w:rsidRPr="00FE121C" w:rsidRDefault="00FE121C" w:rsidP="00FE121C">
      <w:pPr>
        <w:spacing w:after="0" w:line="360" w:lineRule="auto"/>
        <w:ind w:firstLine="708"/>
        <w:jc w:val="both"/>
        <w:rPr>
          <w:rFonts w:ascii="Times New Roman" w:eastAsia="Calibri" w:hAnsi="Times New Roman" w:cs="Times New Roman"/>
          <w:sz w:val="24"/>
          <w:szCs w:val="24"/>
          <w:lang w:eastAsia="bg-BG"/>
        </w:rPr>
      </w:pPr>
      <w:r w:rsidRPr="00FE121C">
        <w:rPr>
          <w:rFonts w:ascii="Times New Roman" w:eastAsia="Calibri" w:hAnsi="Times New Roman" w:cs="Times New Roman"/>
          <w:sz w:val="24"/>
          <w:szCs w:val="24"/>
          <w:lang w:eastAsia="bg-BG"/>
        </w:rPr>
        <w:t xml:space="preserve">Принос за постигането на приоритета имат и  програмите: ОП Югоизточна Европа 2007-2013, ИНТЕРРЕГ IVC, СОП Черноморски басейн 2007-2013, Програма УРБАКТ II и Програма ЕСПОН. </w:t>
      </w:r>
    </w:p>
    <w:p w:rsidR="00FE121C" w:rsidRPr="00FE121C" w:rsidRDefault="00FE121C" w:rsidP="00FE121C">
      <w:pPr>
        <w:widowControl w:val="0"/>
        <w:autoSpaceDE w:val="0"/>
        <w:autoSpaceDN w:val="0"/>
        <w:adjustRightInd w:val="0"/>
        <w:spacing w:after="0" w:line="360" w:lineRule="auto"/>
        <w:ind w:right="23" w:firstLine="708"/>
        <w:jc w:val="both"/>
        <w:rPr>
          <w:rFonts w:ascii="Times New Roman" w:eastAsia="Times New Roman" w:hAnsi="Times New Roman" w:cs="Times New Roman"/>
          <w:sz w:val="24"/>
          <w:szCs w:val="24"/>
          <w:lang w:eastAsia="bg-BG"/>
        </w:rPr>
      </w:pPr>
      <w:r w:rsidRPr="00FE121C">
        <w:rPr>
          <w:rFonts w:ascii="Times New Roman" w:eastAsia="Times New Roman" w:hAnsi="Times New Roman" w:cs="Times New Roman"/>
          <w:sz w:val="24"/>
          <w:szCs w:val="24"/>
          <w:lang w:eastAsia="bg-BG"/>
        </w:rPr>
        <w:t xml:space="preserve">Ефективността на изпълнение на </w:t>
      </w:r>
      <w:r w:rsidRPr="00FE121C">
        <w:rPr>
          <w:rFonts w:ascii="Times New Roman" w:eastAsia="Times New Roman" w:hAnsi="Times New Roman" w:cs="Times New Roman"/>
          <w:b/>
          <w:sz w:val="24"/>
          <w:szCs w:val="24"/>
          <w:lang w:eastAsia="bg-BG"/>
        </w:rPr>
        <w:t>Приоритет 5: Укрепване на капацитета на регионално и местно ниво за подобряване процеса на управление на регионалното развитие</w:t>
      </w:r>
      <w:r w:rsidRPr="00FE121C">
        <w:rPr>
          <w:rFonts w:ascii="Calibri" w:eastAsia="Calibri" w:hAnsi="Calibri" w:cs="Times New Roman"/>
        </w:rPr>
        <w:t xml:space="preserve"> </w:t>
      </w:r>
      <w:r w:rsidRPr="00FE121C">
        <w:rPr>
          <w:rFonts w:ascii="Times New Roman" w:eastAsia="Times New Roman" w:hAnsi="Times New Roman" w:cs="Times New Roman"/>
          <w:sz w:val="24"/>
          <w:szCs w:val="24"/>
          <w:lang w:eastAsia="bg-BG"/>
        </w:rPr>
        <w:t xml:space="preserve">е средна до висока. </w:t>
      </w:r>
    </w:p>
    <w:p w:rsidR="00FE121C" w:rsidRPr="00FE121C" w:rsidRDefault="00FE121C" w:rsidP="00FE121C">
      <w:pPr>
        <w:widowControl w:val="0"/>
        <w:autoSpaceDE w:val="0"/>
        <w:autoSpaceDN w:val="0"/>
        <w:adjustRightInd w:val="0"/>
        <w:spacing w:after="0" w:line="360" w:lineRule="auto"/>
        <w:ind w:right="23" w:firstLine="708"/>
        <w:jc w:val="both"/>
        <w:rPr>
          <w:rFonts w:ascii="Times New Roman" w:eastAsia="Times New Roman" w:hAnsi="Times New Roman" w:cs="Times New Roman"/>
          <w:sz w:val="24"/>
          <w:szCs w:val="24"/>
          <w:lang w:eastAsia="bg-BG"/>
        </w:rPr>
      </w:pPr>
      <w:r w:rsidRPr="00FE121C">
        <w:rPr>
          <w:rFonts w:ascii="Times New Roman" w:eastAsia="Times New Roman" w:hAnsi="Times New Roman" w:cs="Times New Roman"/>
          <w:sz w:val="24"/>
          <w:szCs w:val="24"/>
          <w:lang w:eastAsia="bg-BG"/>
        </w:rPr>
        <w:t xml:space="preserve">Въздействието върху развитието е в посока на подобряване на административния капацитет на публичните власти, развитието на партньорства между администрацията и бизнеса. </w:t>
      </w:r>
    </w:p>
    <w:p w:rsidR="00FE121C" w:rsidRPr="00FE121C" w:rsidRDefault="00FE121C" w:rsidP="00FE121C">
      <w:pPr>
        <w:widowControl w:val="0"/>
        <w:autoSpaceDE w:val="0"/>
        <w:autoSpaceDN w:val="0"/>
        <w:adjustRightInd w:val="0"/>
        <w:spacing w:after="0" w:line="360" w:lineRule="auto"/>
        <w:ind w:right="23" w:firstLine="708"/>
        <w:jc w:val="both"/>
        <w:rPr>
          <w:rFonts w:ascii="Times New Roman" w:eastAsia="Times New Roman" w:hAnsi="Times New Roman" w:cs="Times New Roman"/>
          <w:sz w:val="24"/>
          <w:szCs w:val="24"/>
          <w:lang w:eastAsia="bg-BG"/>
        </w:rPr>
      </w:pPr>
      <w:r w:rsidRPr="00FE121C">
        <w:rPr>
          <w:rFonts w:ascii="Times New Roman" w:eastAsia="Times New Roman" w:hAnsi="Times New Roman" w:cs="Times New Roman"/>
          <w:sz w:val="24"/>
          <w:szCs w:val="24"/>
          <w:lang w:eastAsia="bg-BG"/>
        </w:rPr>
        <w:t xml:space="preserve">Основно, изпълнението на приоритета е свързано с подобряване на качеството и взаимодействието между процесите на планиране, програмиране и реализация на дейностите за подпомагане на регионалното и местното развитие, както и повишаване </w:t>
      </w:r>
      <w:r w:rsidRPr="00FE121C">
        <w:rPr>
          <w:rFonts w:ascii="Times New Roman" w:eastAsia="Times New Roman" w:hAnsi="Times New Roman" w:cs="Times New Roman"/>
          <w:sz w:val="24"/>
          <w:szCs w:val="24"/>
          <w:lang w:eastAsia="bg-BG"/>
        </w:rPr>
        <w:lastRenderedPageBreak/>
        <w:t>на капацитета за усвояване на средствата от Структурните фондове на ЕС на регионално и местно ниво. Регионалната координация между оперативните програми, оказващи въздействие върху съответните региони, има ключово значение за степента на усвояемост и ефективността на средствата от националните и европейските фондове, частните и др. ресурси.</w:t>
      </w:r>
    </w:p>
    <w:p w:rsidR="00FE121C" w:rsidRPr="00FE121C" w:rsidRDefault="00FE121C" w:rsidP="00FE121C">
      <w:pPr>
        <w:widowControl w:val="0"/>
        <w:autoSpaceDE w:val="0"/>
        <w:autoSpaceDN w:val="0"/>
        <w:adjustRightInd w:val="0"/>
        <w:spacing w:after="0" w:line="360" w:lineRule="auto"/>
        <w:ind w:right="23" w:firstLine="708"/>
        <w:jc w:val="both"/>
        <w:rPr>
          <w:rFonts w:ascii="Times New Roman" w:eastAsia="Times New Roman" w:hAnsi="Times New Roman" w:cs="Times New Roman"/>
          <w:sz w:val="24"/>
          <w:szCs w:val="24"/>
          <w:lang w:eastAsia="bg-BG"/>
        </w:rPr>
      </w:pPr>
      <w:r w:rsidRPr="00FE121C">
        <w:rPr>
          <w:rFonts w:ascii="Times New Roman" w:eastAsia="Times New Roman" w:hAnsi="Times New Roman" w:cs="Times New Roman"/>
          <w:sz w:val="24"/>
          <w:szCs w:val="24"/>
          <w:lang w:eastAsia="bg-BG"/>
        </w:rPr>
        <w:t>Успешно са изпълнени дейности, които са свързани с: въвеждането на ефективни механизми (правила) за мониторинг и контрол на изпълнението на общински политики; актуализирането на стратегически документи, които са действащи през настоящия програмен период, като се отчитат новите реалности и актуалните интереси на местните общности; разработването и приемането на нови местни стратегически документи, които ще действат през програмен период 2014-2020 г.</w:t>
      </w:r>
    </w:p>
    <w:p w:rsidR="00FE121C" w:rsidRPr="00FE121C" w:rsidRDefault="00FE121C" w:rsidP="00FE121C">
      <w:pPr>
        <w:widowControl w:val="0"/>
        <w:autoSpaceDE w:val="0"/>
        <w:autoSpaceDN w:val="0"/>
        <w:adjustRightInd w:val="0"/>
        <w:spacing w:after="0" w:line="360" w:lineRule="auto"/>
        <w:ind w:right="23" w:firstLine="708"/>
        <w:jc w:val="both"/>
        <w:rPr>
          <w:rFonts w:ascii="Times New Roman" w:eastAsia="Times New Roman" w:hAnsi="Times New Roman" w:cs="Times New Roman"/>
          <w:sz w:val="24"/>
          <w:szCs w:val="24"/>
          <w:lang w:eastAsia="bg-BG"/>
        </w:rPr>
      </w:pPr>
      <w:r w:rsidRPr="00FE121C">
        <w:rPr>
          <w:rFonts w:ascii="Times New Roman" w:eastAsia="Times New Roman" w:hAnsi="Times New Roman" w:cs="Times New Roman"/>
          <w:sz w:val="24"/>
          <w:szCs w:val="24"/>
          <w:lang w:eastAsia="bg-BG"/>
        </w:rPr>
        <w:t>Обучени са над 40 000 служители на местната администрация с цел изграждане на модерна, ефективна и ориентирана към потребителите администрация, повишаване на административния капацитет и подкрепа за правилното и ефективно изпълнение на схемите за предоставяне на безвъзмездна финансова помощ, осигуряване на по-добра усвояемост на фондовете на ЕС.</w:t>
      </w:r>
    </w:p>
    <w:p w:rsidR="00FE121C" w:rsidRPr="00FE121C" w:rsidRDefault="00FE121C" w:rsidP="00FE121C">
      <w:pPr>
        <w:tabs>
          <w:tab w:val="left" w:pos="-5954"/>
          <w:tab w:val="left" w:pos="-5812"/>
        </w:tabs>
        <w:autoSpaceDE w:val="0"/>
        <w:autoSpaceDN w:val="0"/>
        <w:adjustRightInd w:val="0"/>
        <w:spacing w:after="0" w:line="360" w:lineRule="auto"/>
        <w:ind w:firstLine="709"/>
        <w:jc w:val="both"/>
        <w:rPr>
          <w:rFonts w:ascii="Times New Roman" w:eastAsia="Times New Roman" w:hAnsi="Times New Roman" w:cs="Times New Roman"/>
          <w:iCs/>
          <w:sz w:val="24"/>
          <w:szCs w:val="24"/>
          <w:lang w:eastAsia="bg-BG"/>
        </w:rPr>
      </w:pPr>
      <w:r w:rsidRPr="00FE121C">
        <w:rPr>
          <w:rFonts w:ascii="Times New Roman" w:eastAsia="Times New Roman" w:hAnsi="Times New Roman" w:cs="Times New Roman"/>
          <w:iCs/>
          <w:sz w:val="24"/>
          <w:szCs w:val="24"/>
          <w:lang w:eastAsia="bg-BG"/>
        </w:rPr>
        <w:t xml:space="preserve">Обобщената оценка за ефективността на изпълнение на целите на НСРР е  средна, като се базира на степента на изпълнение на отделните приоритети. </w:t>
      </w:r>
    </w:p>
    <w:p w:rsidR="00FE121C" w:rsidRPr="00FE121C" w:rsidRDefault="00FE121C" w:rsidP="00FE121C">
      <w:pPr>
        <w:tabs>
          <w:tab w:val="left" w:pos="-5954"/>
          <w:tab w:val="left" w:pos="-5812"/>
        </w:tabs>
        <w:autoSpaceDE w:val="0"/>
        <w:autoSpaceDN w:val="0"/>
        <w:adjustRightInd w:val="0"/>
        <w:spacing w:after="0" w:line="360" w:lineRule="auto"/>
        <w:ind w:firstLine="709"/>
        <w:jc w:val="both"/>
        <w:rPr>
          <w:rFonts w:ascii="Times New Roman" w:eastAsia="Times New Roman" w:hAnsi="Times New Roman" w:cs="Times New Roman"/>
          <w:iCs/>
          <w:sz w:val="24"/>
          <w:szCs w:val="24"/>
          <w:lang w:eastAsia="bg-BG"/>
        </w:rPr>
      </w:pPr>
      <w:r w:rsidRPr="00FE121C">
        <w:rPr>
          <w:rFonts w:ascii="Times New Roman" w:eastAsia="Times New Roman" w:hAnsi="Times New Roman" w:cs="Times New Roman"/>
          <w:iCs/>
          <w:sz w:val="24"/>
          <w:szCs w:val="24"/>
          <w:lang w:eastAsia="bg-BG"/>
        </w:rPr>
        <w:t xml:space="preserve">Изпълнението на </w:t>
      </w:r>
      <w:r w:rsidRPr="00FE121C">
        <w:rPr>
          <w:rFonts w:ascii="Times New Roman" w:eastAsia="Times New Roman" w:hAnsi="Times New Roman" w:cs="Times New Roman"/>
          <w:b/>
          <w:iCs/>
          <w:sz w:val="24"/>
          <w:szCs w:val="24"/>
          <w:lang w:eastAsia="bg-BG"/>
        </w:rPr>
        <w:t>Стратегическа цел 1</w:t>
      </w:r>
      <w:r w:rsidRPr="00FE121C">
        <w:rPr>
          <w:rFonts w:ascii="Times New Roman" w:eastAsia="Times New Roman" w:hAnsi="Times New Roman" w:cs="Times New Roman"/>
          <w:iCs/>
          <w:sz w:val="24"/>
          <w:szCs w:val="24"/>
          <w:lang w:eastAsia="bg-BG"/>
        </w:rPr>
        <w:t xml:space="preserve"> </w:t>
      </w:r>
      <w:r w:rsidRPr="00FE121C">
        <w:rPr>
          <w:rFonts w:ascii="Times New Roman" w:eastAsia="Times New Roman" w:hAnsi="Times New Roman" w:cs="Times New Roman"/>
          <w:b/>
          <w:iCs/>
          <w:sz w:val="24"/>
          <w:szCs w:val="24"/>
          <w:lang w:eastAsia="bg-BG"/>
        </w:rPr>
        <w:t>„Постигане на ускорено развитие на българските райони и доближаване до средните равнища на развитие на регионите в ЕС”</w:t>
      </w:r>
      <w:r w:rsidRPr="00FE121C">
        <w:rPr>
          <w:rFonts w:ascii="Times New Roman" w:eastAsia="Times New Roman" w:hAnsi="Times New Roman" w:cs="Times New Roman"/>
          <w:iCs/>
          <w:sz w:val="24"/>
          <w:szCs w:val="24"/>
          <w:lang w:eastAsia="bg-BG"/>
        </w:rPr>
        <w:t xml:space="preserve"> на НСРР се определя като средно, предвид оценките за изпълнение на Приоритет 1 и Приоритет 2. Стратегическа цел 1 може да бъде определена като частично изпълнена по отношение някои от заложените макроикономически показатели. Въпреки достигането на целевите стойности на някои от индикаторите установеното въздействие върху икономическото развитие на българските райони не показва преодоляване на вътрешнорегионалните и междурегионалните различия. Голяма част от регионите ни са в  категорията на най-изоставащите в развитието си в рамките на ЕС. Целите, които политиката за регионално развитие си поставя в бъдеще, следва да са по-амбициозни и да допринасят за по-значим напредък на развитието в икономическата и социалната сфера.</w:t>
      </w:r>
    </w:p>
    <w:p w:rsidR="00FE121C" w:rsidRPr="00FE121C" w:rsidRDefault="00FE121C" w:rsidP="00FE121C">
      <w:pPr>
        <w:tabs>
          <w:tab w:val="left" w:pos="-5954"/>
        </w:tabs>
        <w:autoSpaceDE w:val="0"/>
        <w:autoSpaceDN w:val="0"/>
        <w:adjustRightInd w:val="0"/>
        <w:spacing w:after="0" w:line="360" w:lineRule="auto"/>
        <w:ind w:firstLine="709"/>
        <w:jc w:val="both"/>
        <w:rPr>
          <w:rFonts w:ascii="Times New Roman" w:eastAsia="Times New Roman" w:hAnsi="Times New Roman" w:cs="Times New Roman"/>
          <w:iCs/>
          <w:sz w:val="24"/>
          <w:szCs w:val="24"/>
          <w:lang w:eastAsia="bg-BG"/>
        </w:rPr>
      </w:pPr>
      <w:r w:rsidRPr="00FE121C">
        <w:rPr>
          <w:rFonts w:ascii="Times New Roman" w:eastAsia="Times New Roman" w:hAnsi="Times New Roman" w:cs="Times New Roman"/>
          <w:iCs/>
          <w:sz w:val="24"/>
          <w:szCs w:val="24"/>
          <w:lang w:eastAsia="bg-BG"/>
        </w:rPr>
        <w:t xml:space="preserve">Степента на постигане на </w:t>
      </w:r>
      <w:r w:rsidRPr="00FE121C">
        <w:rPr>
          <w:rFonts w:ascii="Times New Roman" w:eastAsia="Times New Roman" w:hAnsi="Times New Roman" w:cs="Times New Roman"/>
          <w:b/>
          <w:iCs/>
          <w:sz w:val="24"/>
          <w:szCs w:val="24"/>
          <w:lang w:eastAsia="bg-BG"/>
        </w:rPr>
        <w:t>Стратегическа цел 2</w:t>
      </w:r>
      <w:r w:rsidRPr="00FE121C">
        <w:rPr>
          <w:rFonts w:ascii="Times New Roman" w:eastAsia="Times New Roman" w:hAnsi="Times New Roman" w:cs="Times New Roman"/>
          <w:iCs/>
          <w:sz w:val="24"/>
          <w:szCs w:val="24"/>
          <w:lang w:eastAsia="bg-BG"/>
        </w:rPr>
        <w:t xml:space="preserve"> </w:t>
      </w:r>
      <w:r w:rsidRPr="00FE121C">
        <w:rPr>
          <w:rFonts w:ascii="Times New Roman" w:eastAsia="Times New Roman" w:hAnsi="Times New Roman" w:cs="Times New Roman"/>
          <w:b/>
          <w:iCs/>
          <w:sz w:val="24"/>
          <w:szCs w:val="24"/>
          <w:lang w:eastAsia="bg-BG"/>
        </w:rPr>
        <w:t>„Намаляване на междурегионалните и вътрешнорегионалните различия чрез развитие на вътрешния потенциал на районите и градовете”</w:t>
      </w:r>
      <w:r w:rsidRPr="00FE121C">
        <w:rPr>
          <w:rFonts w:ascii="Times New Roman" w:eastAsia="Times New Roman" w:hAnsi="Times New Roman" w:cs="Times New Roman"/>
          <w:iCs/>
          <w:sz w:val="24"/>
          <w:szCs w:val="24"/>
          <w:lang w:eastAsia="bg-BG"/>
        </w:rPr>
        <w:t xml:space="preserve"> се определя като средна, базирайки се на оценката за изпълнение на Приоритет 3 и 5. Констатираният в междинната оценка </w:t>
      </w:r>
      <w:r w:rsidRPr="00FE121C">
        <w:rPr>
          <w:rFonts w:ascii="Times New Roman" w:eastAsia="Times New Roman" w:hAnsi="Times New Roman" w:cs="Times New Roman"/>
          <w:iCs/>
          <w:sz w:val="24"/>
          <w:szCs w:val="24"/>
          <w:lang w:eastAsia="bg-BG"/>
        </w:rPr>
        <w:lastRenderedPageBreak/>
        <w:t>на НСРР относително висок потенциал се оправдава. Въпреки това, към момента на извършване на оценката се констатира, че междурегионалните различия продължават да нарастват по отношение на дела на БВП на всеки от районите на ниво 2 в общия БВП на страната. ЮЗР продължава да увеличава дела си в националния БВП, докато всички останали райони намаляват участието си в него. Въпреки постигнатите значими резултати по отношение развитието на седемте големи градски центъра, териториалното въздействие върху развитието е ограничено в периода 2007-2013 г. Независимо от водещата роля на големите градски центрове по отношение на икономическото развитие и предоставянето на публични услуги за голяма част от населението на страната, съсредоточено в тях, остава пренебрегната  ролята на средните и малки градски центрове като балансьори на големите градове и също така създаващи условия за ефективно използване на териториалния потенциал за развитие,  както и за прилагане на интегриран подход по отношение на градските инвестиции.</w:t>
      </w:r>
    </w:p>
    <w:p w:rsidR="00FE121C" w:rsidRPr="00FE121C" w:rsidRDefault="00FE121C" w:rsidP="00FE121C">
      <w:pPr>
        <w:tabs>
          <w:tab w:val="left" w:pos="-5954"/>
        </w:tabs>
        <w:autoSpaceDE w:val="0"/>
        <w:autoSpaceDN w:val="0"/>
        <w:adjustRightInd w:val="0"/>
        <w:spacing w:after="0" w:line="360" w:lineRule="auto"/>
        <w:ind w:firstLine="709"/>
        <w:jc w:val="both"/>
        <w:rPr>
          <w:rFonts w:ascii="Times New Roman" w:eastAsia="Times New Roman" w:hAnsi="Times New Roman" w:cs="Times New Roman"/>
          <w:iCs/>
          <w:sz w:val="24"/>
          <w:szCs w:val="24"/>
          <w:lang w:eastAsia="bg-BG"/>
        </w:rPr>
      </w:pPr>
      <w:r w:rsidRPr="00FE121C">
        <w:rPr>
          <w:rFonts w:ascii="Times New Roman" w:eastAsia="Times New Roman" w:hAnsi="Times New Roman" w:cs="Times New Roman"/>
          <w:iCs/>
          <w:sz w:val="24"/>
          <w:szCs w:val="24"/>
          <w:lang w:eastAsia="bg-BG"/>
        </w:rPr>
        <w:t>За цялостно подобряване на достъпността и свързаността в районите е необходимо да се  предприемат мерки за подобряване на експлоатационното състояние не само на  първокласните пътища, а и на тези ІІ и ІІІ клас, както и на общинските пътища, които  осигуряват достъп до местата, където се предоставят публични услуги - болници, медицински центрове за доболнична помощ, училища, администрации и др.</w:t>
      </w:r>
    </w:p>
    <w:p w:rsidR="00FE121C" w:rsidRPr="00FE121C" w:rsidRDefault="00FE121C" w:rsidP="00FE121C">
      <w:pPr>
        <w:tabs>
          <w:tab w:val="left" w:pos="-5954"/>
        </w:tabs>
        <w:autoSpaceDE w:val="0"/>
        <w:autoSpaceDN w:val="0"/>
        <w:adjustRightInd w:val="0"/>
        <w:spacing w:after="0" w:line="360" w:lineRule="auto"/>
        <w:ind w:firstLine="709"/>
        <w:jc w:val="both"/>
        <w:rPr>
          <w:rFonts w:ascii="Times New Roman" w:eastAsia="Times New Roman" w:hAnsi="Times New Roman" w:cs="Times New Roman"/>
          <w:iCs/>
          <w:sz w:val="24"/>
          <w:szCs w:val="24"/>
          <w:lang w:eastAsia="bg-BG"/>
        </w:rPr>
      </w:pPr>
      <w:r w:rsidRPr="00FE121C">
        <w:rPr>
          <w:rFonts w:ascii="Times New Roman" w:eastAsia="Times New Roman" w:hAnsi="Times New Roman" w:cs="Times New Roman"/>
          <w:iCs/>
          <w:sz w:val="24"/>
          <w:szCs w:val="24"/>
          <w:lang w:eastAsia="bg-BG"/>
        </w:rPr>
        <w:t>Концентрирането на помощта от европейските фондове  в едни територии на страната и недостатъчните ресурси в други са изострили демографските процеси и са довели до обезлюдяване на малките населени места.</w:t>
      </w:r>
    </w:p>
    <w:p w:rsidR="00FE121C" w:rsidRPr="00FE121C" w:rsidRDefault="00FE121C" w:rsidP="00FE121C">
      <w:pPr>
        <w:tabs>
          <w:tab w:val="left" w:pos="-5954"/>
        </w:tabs>
        <w:autoSpaceDE w:val="0"/>
        <w:autoSpaceDN w:val="0"/>
        <w:adjustRightInd w:val="0"/>
        <w:spacing w:after="0" w:line="360" w:lineRule="auto"/>
        <w:ind w:firstLine="709"/>
        <w:jc w:val="both"/>
        <w:rPr>
          <w:rFonts w:ascii="Times New Roman" w:eastAsia="Times New Roman" w:hAnsi="Times New Roman" w:cs="Times New Roman"/>
          <w:iCs/>
          <w:sz w:val="24"/>
          <w:szCs w:val="24"/>
          <w:lang w:eastAsia="bg-BG"/>
        </w:rPr>
      </w:pPr>
      <w:r w:rsidRPr="00FE121C">
        <w:rPr>
          <w:rFonts w:ascii="Times New Roman" w:eastAsia="Times New Roman" w:hAnsi="Times New Roman" w:cs="Times New Roman"/>
          <w:b/>
          <w:iCs/>
          <w:sz w:val="24"/>
          <w:szCs w:val="24"/>
          <w:lang w:eastAsia="bg-BG"/>
        </w:rPr>
        <w:t>Стратегическа цел 3</w:t>
      </w:r>
      <w:r w:rsidRPr="00FE121C">
        <w:rPr>
          <w:rFonts w:ascii="Times New Roman" w:eastAsia="Times New Roman" w:hAnsi="Times New Roman" w:cs="Times New Roman"/>
          <w:iCs/>
          <w:sz w:val="24"/>
          <w:szCs w:val="24"/>
          <w:lang w:eastAsia="bg-BG"/>
        </w:rPr>
        <w:t xml:space="preserve"> „</w:t>
      </w:r>
      <w:r w:rsidRPr="00FE121C">
        <w:rPr>
          <w:rFonts w:ascii="Times New Roman" w:eastAsia="Times New Roman" w:hAnsi="Times New Roman" w:cs="Times New Roman"/>
          <w:b/>
          <w:iCs/>
          <w:sz w:val="24"/>
          <w:szCs w:val="24"/>
          <w:lang w:eastAsia="bg-BG"/>
        </w:rPr>
        <w:t>Развитие на териториалното сътрудничество, добросъседство и партньорство за постигане на европейска териториална кохезия“</w:t>
      </w:r>
      <w:r w:rsidRPr="00FE121C">
        <w:rPr>
          <w:rFonts w:ascii="Times New Roman" w:eastAsia="Times New Roman" w:hAnsi="Times New Roman" w:cs="Times New Roman"/>
          <w:iCs/>
          <w:sz w:val="24"/>
          <w:szCs w:val="24"/>
          <w:lang w:eastAsia="bg-BG"/>
        </w:rPr>
        <w:t xml:space="preserve"> също постига средна степен на изпълнение, базирайки се на изпълнението на Приоритет 4 на НСРР.</w:t>
      </w:r>
    </w:p>
    <w:p w:rsidR="00FE121C" w:rsidRPr="00FE121C" w:rsidRDefault="00FE121C" w:rsidP="00FE121C">
      <w:pPr>
        <w:tabs>
          <w:tab w:val="left" w:pos="-5954"/>
        </w:tabs>
        <w:autoSpaceDE w:val="0"/>
        <w:autoSpaceDN w:val="0"/>
        <w:adjustRightInd w:val="0"/>
        <w:spacing w:after="0" w:line="360" w:lineRule="auto"/>
        <w:ind w:firstLine="709"/>
        <w:jc w:val="both"/>
        <w:rPr>
          <w:rFonts w:ascii="Times New Roman" w:eastAsia="Times New Roman" w:hAnsi="Times New Roman" w:cs="Times New Roman"/>
          <w:iCs/>
          <w:sz w:val="24"/>
          <w:szCs w:val="24"/>
          <w:lang w:eastAsia="bg-BG"/>
        </w:rPr>
      </w:pPr>
      <w:r w:rsidRPr="00FE121C">
        <w:rPr>
          <w:rFonts w:ascii="Times New Roman" w:eastAsia="Times New Roman" w:hAnsi="Times New Roman" w:cs="Times New Roman"/>
          <w:iCs/>
          <w:sz w:val="24"/>
          <w:szCs w:val="24"/>
          <w:lang w:eastAsia="bg-BG"/>
        </w:rPr>
        <w:t xml:space="preserve">Определените стратегически цели и приоритети в НСРР съответстват напълно на нуждите на районите и са насочени към решаването на проблемите им в средносрочен и дългосрочен план. Въпреки постигнатия напредък по всички приоритети изпълнението не е довело да разрешаване на проблемите в районите и изпълнението им следва да продължи и през следващия планов период, като се търси по-голяма интегрираност и взаимодействие между отделните мерки и проекти. Възможност за това дава прилагането на подхода за „интегрирани териториални инвестиции“. </w:t>
      </w:r>
    </w:p>
    <w:p w:rsidR="00760722" w:rsidRPr="00760722" w:rsidRDefault="00760722" w:rsidP="00FE121C"/>
    <w:p w:rsidR="0035383E" w:rsidRPr="00A1664F" w:rsidRDefault="00DF0E52" w:rsidP="0025387F">
      <w:pPr>
        <w:pStyle w:val="Heading1"/>
        <w:numPr>
          <w:ilvl w:val="0"/>
          <w:numId w:val="3"/>
        </w:numPr>
        <w:jc w:val="both"/>
        <w:rPr>
          <w:rFonts w:eastAsia="Times New Roman"/>
          <w:lang w:eastAsia="bg-BG"/>
        </w:rPr>
      </w:pPr>
      <w:bookmarkStart w:id="4" w:name="_Toc478043744"/>
      <w:r w:rsidRPr="00A1664F">
        <w:rPr>
          <w:rFonts w:eastAsia="Times New Roman"/>
          <w:lang w:eastAsia="bg-BG"/>
        </w:rPr>
        <w:lastRenderedPageBreak/>
        <w:t>РЕЗУЛТАТИ ОТ ПОСЛЕДВАЩАТА ОЦЕНКА</w:t>
      </w:r>
      <w:r>
        <w:rPr>
          <w:rFonts w:eastAsia="Times New Roman"/>
          <w:lang w:eastAsia="bg-BG"/>
        </w:rPr>
        <w:t xml:space="preserve"> </w:t>
      </w:r>
      <w:r w:rsidRPr="00A1235F">
        <w:rPr>
          <w:rFonts w:eastAsia="Times New Roman"/>
          <w:lang w:eastAsia="bg-BG"/>
        </w:rPr>
        <w:t xml:space="preserve">СЪГЛАСНО КРИТЕРИИТЕ ЗА ОЦЕНКА </w:t>
      </w:r>
      <w:r>
        <w:rPr>
          <w:rFonts w:eastAsia="Times New Roman"/>
          <w:lang w:eastAsia="bg-BG"/>
        </w:rPr>
        <w:t>Н</w:t>
      </w:r>
      <w:r w:rsidRPr="00A1664F">
        <w:rPr>
          <w:rFonts w:eastAsia="Times New Roman"/>
          <w:lang w:eastAsia="bg-BG"/>
        </w:rPr>
        <w:t>А ИЗПЪЛНЕНИЕТО НА НАЦИОНАЛНАТА СТРАТЕГИЯ ЗА РЕГИОНАЛНО РАЗВИТИЕ 2005-2015 Г.</w:t>
      </w:r>
      <w:bookmarkEnd w:id="4"/>
    </w:p>
    <w:p w:rsidR="00DF0E52" w:rsidRDefault="00162351" w:rsidP="002941E4">
      <w:pPr>
        <w:spacing w:after="0" w:line="360" w:lineRule="auto"/>
        <w:ind w:firstLine="720"/>
        <w:jc w:val="both"/>
        <w:rPr>
          <w:rFonts w:ascii="Times New Roman" w:eastAsia="Calibri" w:hAnsi="Times New Roman" w:cs="Times New Roman"/>
          <w:sz w:val="24"/>
          <w:szCs w:val="28"/>
          <w:lang w:eastAsia="bg-BG"/>
        </w:rPr>
      </w:pPr>
      <w:r w:rsidRPr="00162351">
        <w:rPr>
          <w:rFonts w:ascii="Times New Roman" w:eastAsia="Calibri" w:hAnsi="Times New Roman" w:cs="Times New Roman"/>
          <w:sz w:val="24"/>
          <w:szCs w:val="28"/>
          <w:lang w:eastAsia="bg-BG"/>
        </w:rPr>
        <w:t xml:space="preserve">Последващата оценка на НСРР 2005-2015 г. е изготвена </w:t>
      </w:r>
      <w:r w:rsidR="000B1A32">
        <w:rPr>
          <w:rFonts w:ascii="Times New Roman" w:eastAsia="Calibri" w:hAnsi="Times New Roman" w:cs="Times New Roman"/>
          <w:sz w:val="24"/>
          <w:szCs w:val="28"/>
          <w:lang w:eastAsia="bg-BG"/>
        </w:rPr>
        <w:t xml:space="preserve">въз основа на комплексни критерии за оценка на изпълнението, които характеризират необходимите нива </w:t>
      </w:r>
      <w:r w:rsidR="00DF0E52">
        <w:rPr>
          <w:rFonts w:ascii="Times New Roman" w:eastAsia="Calibri" w:hAnsi="Times New Roman" w:cs="Times New Roman"/>
          <w:sz w:val="24"/>
          <w:szCs w:val="28"/>
          <w:lang w:eastAsia="bg-BG"/>
        </w:rPr>
        <w:t xml:space="preserve">и качеството </w:t>
      </w:r>
      <w:r w:rsidR="000B1A32">
        <w:rPr>
          <w:rFonts w:ascii="Times New Roman" w:eastAsia="Calibri" w:hAnsi="Times New Roman" w:cs="Times New Roman"/>
          <w:sz w:val="24"/>
          <w:szCs w:val="28"/>
          <w:lang w:eastAsia="bg-BG"/>
        </w:rPr>
        <w:t xml:space="preserve">на реализация на поставените цели пред развитието на регионите </w:t>
      </w:r>
      <w:r w:rsidR="00DF0E52">
        <w:rPr>
          <w:rFonts w:ascii="Times New Roman" w:eastAsia="Calibri" w:hAnsi="Times New Roman" w:cs="Times New Roman"/>
          <w:sz w:val="24"/>
          <w:szCs w:val="28"/>
          <w:lang w:eastAsia="bg-BG"/>
        </w:rPr>
        <w:t>в България за определения период на действие</w:t>
      </w:r>
      <w:r w:rsidR="000B1A32">
        <w:rPr>
          <w:rFonts w:ascii="Times New Roman" w:eastAsia="Calibri" w:hAnsi="Times New Roman" w:cs="Times New Roman"/>
          <w:sz w:val="24"/>
          <w:szCs w:val="28"/>
          <w:lang w:eastAsia="bg-BG"/>
        </w:rPr>
        <w:t xml:space="preserve"> на стратегият</w:t>
      </w:r>
      <w:r w:rsidR="00DF0E52">
        <w:rPr>
          <w:rFonts w:ascii="Times New Roman" w:eastAsia="Calibri" w:hAnsi="Times New Roman" w:cs="Times New Roman"/>
          <w:sz w:val="24"/>
          <w:szCs w:val="28"/>
          <w:lang w:eastAsia="bg-BG"/>
        </w:rPr>
        <w:t>а. Резултатите от извършената последваща оценка са обобщено представени в съответствие със следните критерии за оценка:</w:t>
      </w:r>
    </w:p>
    <w:p w:rsidR="00DF0E52" w:rsidRPr="00DF0E52" w:rsidRDefault="004D0C92" w:rsidP="009A2E7A">
      <w:pPr>
        <w:spacing w:after="0" w:line="360" w:lineRule="auto"/>
        <w:ind w:left="709"/>
        <w:jc w:val="both"/>
        <w:rPr>
          <w:rFonts w:ascii="Times New Roman" w:eastAsia="Calibri" w:hAnsi="Times New Roman" w:cs="Times New Roman"/>
          <w:i/>
          <w:sz w:val="24"/>
          <w:szCs w:val="28"/>
          <w:lang w:eastAsia="bg-BG"/>
        </w:rPr>
      </w:pPr>
      <w:r>
        <w:rPr>
          <w:rFonts w:ascii="Times New Roman" w:eastAsia="Calibri" w:hAnsi="Times New Roman" w:cs="Times New Roman"/>
          <w:i/>
          <w:sz w:val="24"/>
          <w:szCs w:val="28"/>
          <w:lang w:eastAsia="bg-BG"/>
        </w:rPr>
        <w:t>2.1.</w:t>
      </w:r>
      <w:r w:rsidR="00F46935">
        <w:rPr>
          <w:rFonts w:ascii="Times New Roman" w:eastAsia="Calibri" w:hAnsi="Times New Roman" w:cs="Times New Roman"/>
          <w:i/>
          <w:sz w:val="24"/>
          <w:szCs w:val="28"/>
          <w:lang w:eastAsia="bg-BG"/>
        </w:rPr>
        <w:t xml:space="preserve"> </w:t>
      </w:r>
      <w:r w:rsidR="00DF0E52" w:rsidRPr="00DF0E52">
        <w:rPr>
          <w:rFonts w:ascii="Times New Roman" w:eastAsia="Calibri" w:hAnsi="Times New Roman" w:cs="Times New Roman"/>
          <w:i/>
          <w:sz w:val="24"/>
          <w:szCs w:val="28"/>
          <w:lang w:eastAsia="bg-BG"/>
        </w:rPr>
        <w:t>Използване на конкурентните предимства на районите и ефективно използване на собствените потенциали за развитие за постигане на икономическо сближаване.</w:t>
      </w:r>
    </w:p>
    <w:p w:rsidR="00DB7031" w:rsidRPr="00DB7031" w:rsidRDefault="00DB7031" w:rsidP="002941E4">
      <w:pPr>
        <w:spacing w:after="0" w:line="360" w:lineRule="auto"/>
        <w:ind w:firstLine="720"/>
        <w:jc w:val="both"/>
        <w:rPr>
          <w:rFonts w:ascii="Times New Roman" w:eastAsia="Calibri" w:hAnsi="Times New Roman" w:cs="Times New Roman"/>
          <w:sz w:val="24"/>
          <w:szCs w:val="28"/>
          <w:lang w:eastAsia="bg-BG"/>
        </w:rPr>
      </w:pPr>
      <w:r w:rsidRPr="00DB7031">
        <w:rPr>
          <w:rFonts w:ascii="Times New Roman" w:eastAsia="Calibri" w:hAnsi="Times New Roman" w:cs="Times New Roman"/>
          <w:sz w:val="24"/>
          <w:szCs w:val="28"/>
          <w:lang w:eastAsia="bg-BG"/>
        </w:rPr>
        <w:t>Основният двигател на икономически растеж и постигането на по-висок жизнен стандарт в развитите държави са секторите, свързани с иновации. В България делът на тези сектори в общата добавена стойност и в заетостта са почти наполовина по-ниски от средните за ЕС. Въпреки това, се забелязват положителни тенденции за нарастващата роля на тези сектори.</w:t>
      </w:r>
    </w:p>
    <w:p w:rsidR="00DB7031" w:rsidRPr="00DB7031" w:rsidRDefault="00DB7031" w:rsidP="002941E4">
      <w:pPr>
        <w:spacing w:after="0" w:line="360" w:lineRule="auto"/>
        <w:ind w:firstLine="720"/>
        <w:jc w:val="both"/>
        <w:rPr>
          <w:rFonts w:ascii="Times New Roman" w:eastAsia="Calibri" w:hAnsi="Times New Roman" w:cs="Times New Roman"/>
          <w:sz w:val="24"/>
          <w:szCs w:val="28"/>
          <w:lang w:eastAsia="bg-BG"/>
        </w:rPr>
      </w:pPr>
      <w:r w:rsidRPr="00DB7031">
        <w:rPr>
          <w:rFonts w:ascii="Times New Roman" w:eastAsia="Calibri" w:hAnsi="Times New Roman" w:cs="Times New Roman"/>
          <w:sz w:val="24"/>
          <w:szCs w:val="28"/>
          <w:lang w:eastAsia="bg-BG"/>
        </w:rPr>
        <w:t>За разлика от отрасловата диференциация, която изглежда нормална, доколкото се предполага, че отразява склонността на бизнес</w:t>
      </w:r>
      <w:r w:rsidR="0095562F">
        <w:rPr>
          <w:rFonts w:ascii="Times New Roman" w:eastAsia="Calibri" w:hAnsi="Times New Roman" w:cs="Times New Roman"/>
          <w:sz w:val="24"/>
          <w:szCs w:val="28"/>
          <w:lang w:eastAsia="bg-BG"/>
        </w:rPr>
        <w:t>а</w:t>
      </w:r>
      <w:r w:rsidRPr="00DB7031">
        <w:rPr>
          <w:rFonts w:ascii="Times New Roman" w:eastAsia="Calibri" w:hAnsi="Times New Roman" w:cs="Times New Roman"/>
          <w:sz w:val="24"/>
          <w:szCs w:val="28"/>
          <w:lang w:eastAsia="bg-BG"/>
        </w:rPr>
        <w:t xml:space="preserve"> да се насочва към определен вид дейности с добра пазарна реализация, значителната териториална диференциация на предприятията почти не се променя и свидетелства за съществени различия в условията на отделните райони за развиване на малък и среден бизнес. Съществуващите териториални характеристики на МСП са неблагоприятни за развитието на някои райони, за намаляване на различията и диспропорциите между тях, за териториалната интеграция на страната. Това  изисква целенасочена регионална политика и специфичен подход към МСП в по-неразвитите райони.</w:t>
      </w:r>
    </w:p>
    <w:p w:rsidR="002735A3" w:rsidRPr="00EC5815" w:rsidRDefault="00DB7031" w:rsidP="002941E4">
      <w:pPr>
        <w:spacing w:after="0" w:line="360" w:lineRule="auto"/>
        <w:ind w:firstLine="708"/>
        <w:jc w:val="both"/>
        <w:rPr>
          <w:rFonts w:ascii="Times New Roman" w:eastAsia="Times New Roman" w:hAnsi="Times New Roman" w:cs="Times New Roman"/>
          <w:sz w:val="24"/>
          <w:szCs w:val="24"/>
          <w:lang w:val="en-US" w:eastAsia="bg-BG"/>
        </w:rPr>
      </w:pPr>
      <w:r w:rsidRPr="00DB7031">
        <w:rPr>
          <w:rFonts w:ascii="Times New Roman" w:eastAsia="Calibri" w:hAnsi="Times New Roman" w:cs="Times New Roman"/>
          <w:sz w:val="24"/>
          <w:szCs w:val="28"/>
          <w:lang w:eastAsia="bg-BG"/>
        </w:rPr>
        <w:t xml:space="preserve">Инвестиционната активност в страната остава ниска, а контрастите между най-привлекателните и най-малко атрактивните за чуждестранните инвеститори райони и области остават значителни. Разпределението на преките чуждестранни инвестиции (с натрупване) в страната показва, че </w:t>
      </w:r>
      <w:r>
        <w:rPr>
          <w:rFonts w:ascii="Times New Roman" w:eastAsia="Calibri" w:hAnsi="Times New Roman" w:cs="Times New Roman"/>
          <w:sz w:val="24"/>
          <w:szCs w:val="28"/>
          <w:lang w:eastAsia="bg-BG"/>
        </w:rPr>
        <w:t xml:space="preserve">Югозападният район и </w:t>
      </w:r>
      <w:r w:rsidRPr="00DB7031">
        <w:rPr>
          <w:rFonts w:ascii="Times New Roman" w:eastAsia="Calibri" w:hAnsi="Times New Roman" w:cs="Times New Roman"/>
          <w:sz w:val="24"/>
          <w:szCs w:val="28"/>
          <w:lang w:eastAsia="bg-BG"/>
        </w:rPr>
        <w:t>столицата остав</w:t>
      </w:r>
      <w:r>
        <w:rPr>
          <w:rFonts w:ascii="Times New Roman" w:eastAsia="Calibri" w:hAnsi="Times New Roman" w:cs="Times New Roman"/>
          <w:sz w:val="24"/>
          <w:szCs w:val="28"/>
          <w:lang w:eastAsia="bg-BG"/>
        </w:rPr>
        <w:t>ат</w:t>
      </w:r>
      <w:r w:rsidRPr="00DB7031">
        <w:rPr>
          <w:rFonts w:ascii="Times New Roman" w:eastAsia="Calibri" w:hAnsi="Times New Roman" w:cs="Times New Roman"/>
          <w:sz w:val="24"/>
          <w:szCs w:val="28"/>
          <w:lang w:eastAsia="bg-BG"/>
        </w:rPr>
        <w:t xml:space="preserve"> безспорен лидер, както в периода на бърз растеж, така и при последвалата криза и възстановяване.</w:t>
      </w:r>
      <w:r w:rsidR="002735A3" w:rsidRPr="002735A3">
        <w:rPr>
          <w:rFonts w:ascii="Times New Roman" w:eastAsia="Times New Roman" w:hAnsi="Times New Roman" w:cs="Times New Roman"/>
          <w:sz w:val="24"/>
          <w:szCs w:val="24"/>
          <w:lang w:eastAsia="bg-BG"/>
        </w:rPr>
        <w:t xml:space="preserve"> </w:t>
      </w:r>
      <w:r w:rsidR="002735A3">
        <w:rPr>
          <w:rFonts w:ascii="Times New Roman" w:eastAsia="Times New Roman" w:hAnsi="Times New Roman" w:cs="Times New Roman"/>
          <w:sz w:val="24"/>
          <w:szCs w:val="24"/>
          <w:lang w:eastAsia="bg-BG"/>
        </w:rPr>
        <w:t>Така например, за периода 2005-2014</w:t>
      </w:r>
      <w:r w:rsidR="002735A3" w:rsidRPr="001371E0">
        <w:rPr>
          <w:rFonts w:ascii="Times New Roman" w:eastAsia="Times New Roman" w:hAnsi="Times New Roman" w:cs="Times New Roman"/>
          <w:sz w:val="24"/>
          <w:szCs w:val="24"/>
          <w:lang w:eastAsia="bg-BG"/>
        </w:rPr>
        <w:t xml:space="preserve"> г.</w:t>
      </w:r>
      <w:r w:rsidR="002735A3">
        <w:rPr>
          <w:rFonts w:ascii="Times New Roman" w:eastAsia="Times New Roman" w:hAnsi="Times New Roman" w:cs="Times New Roman"/>
          <w:sz w:val="24"/>
          <w:szCs w:val="24"/>
          <w:lang w:eastAsia="bg-BG"/>
        </w:rPr>
        <w:t xml:space="preserve"> в </w:t>
      </w:r>
      <w:r w:rsidR="002735A3" w:rsidRPr="001371E0">
        <w:rPr>
          <w:rFonts w:ascii="Times New Roman" w:eastAsia="Times New Roman" w:hAnsi="Times New Roman" w:cs="Times New Roman"/>
          <w:sz w:val="24"/>
          <w:szCs w:val="24"/>
          <w:lang w:eastAsia="bg-BG"/>
        </w:rPr>
        <w:t>обла</w:t>
      </w:r>
      <w:r w:rsidR="002735A3">
        <w:rPr>
          <w:rFonts w:ascii="Times New Roman" w:eastAsia="Times New Roman" w:hAnsi="Times New Roman" w:cs="Times New Roman"/>
          <w:sz w:val="24"/>
          <w:szCs w:val="24"/>
          <w:lang w:eastAsia="bg-BG"/>
        </w:rPr>
        <w:t>ст София  към 31.12.2014</w:t>
      </w:r>
      <w:r w:rsidR="002735A3" w:rsidRPr="001371E0">
        <w:rPr>
          <w:rFonts w:ascii="Times New Roman" w:eastAsia="Times New Roman" w:hAnsi="Times New Roman" w:cs="Times New Roman"/>
          <w:sz w:val="24"/>
          <w:szCs w:val="24"/>
          <w:lang w:eastAsia="bg-BG"/>
        </w:rPr>
        <w:t xml:space="preserve"> г. са реализирани </w:t>
      </w:r>
      <w:r w:rsidR="002735A3">
        <w:rPr>
          <w:rFonts w:ascii="Times New Roman" w:eastAsia="Times New Roman" w:hAnsi="Times New Roman" w:cs="Times New Roman"/>
          <w:sz w:val="24"/>
          <w:szCs w:val="24"/>
          <w:lang w:eastAsia="bg-BG"/>
        </w:rPr>
        <w:t>над 50</w:t>
      </w:r>
      <w:r w:rsidR="002735A3" w:rsidRPr="001371E0">
        <w:rPr>
          <w:rFonts w:ascii="Times New Roman" w:eastAsia="Times New Roman" w:hAnsi="Times New Roman" w:cs="Times New Roman"/>
          <w:sz w:val="24"/>
          <w:szCs w:val="24"/>
          <w:lang w:eastAsia="bg-BG"/>
        </w:rPr>
        <w:t xml:space="preserve">% от националните </w:t>
      </w:r>
      <w:r w:rsidR="002735A3">
        <w:rPr>
          <w:rFonts w:ascii="Times New Roman" w:eastAsia="Times New Roman" w:hAnsi="Times New Roman" w:cs="Times New Roman"/>
          <w:sz w:val="24"/>
          <w:szCs w:val="24"/>
          <w:lang w:eastAsia="bg-BG"/>
        </w:rPr>
        <w:t>преки чуждестранни инвестиции (</w:t>
      </w:r>
      <w:r w:rsidR="002735A3" w:rsidRPr="001371E0">
        <w:rPr>
          <w:rFonts w:ascii="Times New Roman" w:eastAsia="Times New Roman" w:hAnsi="Times New Roman" w:cs="Times New Roman"/>
          <w:sz w:val="24"/>
          <w:szCs w:val="24"/>
          <w:lang w:eastAsia="bg-BG"/>
        </w:rPr>
        <w:t>ПЧИ</w:t>
      </w:r>
      <w:r w:rsidR="002735A3">
        <w:rPr>
          <w:rFonts w:ascii="Times New Roman" w:eastAsia="Times New Roman" w:hAnsi="Times New Roman" w:cs="Times New Roman"/>
          <w:sz w:val="24"/>
          <w:szCs w:val="24"/>
          <w:lang w:eastAsia="bg-BG"/>
        </w:rPr>
        <w:t xml:space="preserve">). </w:t>
      </w:r>
    </w:p>
    <w:p w:rsidR="00DF0E52" w:rsidRPr="00DF0E52" w:rsidRDefault="00DF0E52" w:rsidP="002941E4">
      <w:pPr>
        <w:spacing w:after="0" w:line="360" w:lineRule="auto"/>
        <w:ind w:firstLine="720"/>
        <w:jc w:val="both"/>
        <w:rPr>
          <w:rFonts w:ascii="Times New Roman" w:eastAsia="Calibri" w:hAnsi="Times New Roman" w:cs="Times New Roman"/>
          <w:sz w:val="24"/>
          <w:szCs w:val="28"/>
          <w:lang w:eastAsia="bg-BG"/>
        </w:rPr>
      </w:pPr>
      <w:r w:rsidRPr="00DF0E52">
        <w:rPr>
          <w:rFonts w:ascii="Times New Roman" w:eastAsia="Calibri" w:hAnsi="Times New Roman" w:cs="Times New Roman"/>
          <w:sz w:val="24"/>
          <w:szCs w:val="28"/>
          <w:lang w:eastAsia="bg-BG"/>
        </w:rPr>
        <w:lastRenderedPageBreak/>
        <w:t>Една от основните общоевропейски цели, заложена в Стратегия „Европа 2020”, е увеличаването на инвестициите в научноизследовате</w:t>
      </w:r>
      <w:r w:rsidR="00AF21DD">
        <w:rPr>
          <w:rFonts w:ascii="Times New Roman" w:eastAsia="Calibri" w:hAnsi="Times New Roman" w:cs="Times New Roman"/>
          <w:sz w:val="24"/>
          <w:szCs w:val="28"/>
          <w:lang w:eastAsia="bg-BG"/>
        </w:rPr>
        <w:t>лската и развойна дейност</w:t>
      </w:r>
      <w:r w:rsidRPr="00DF0E52">
        <w:rPr>
          <w:rFonts w:ascii="Times New Roman" w:eastAsia="Calibri" w:hAnsi="Times New Roman" w:cs="Times New Roman"/>
          <w:sz w:val="24"/>
          <w:szCs w:val="28"/>
          <w:lang w:eastAsia="bg-BG"/>
        </w:rPr>
        <w:t>, за да бъде постигнат т.</w:t>
      </w:r>
      <w:r w:rsidR="0090695F">
        <w:rPr>
          <w:rFonts w:ascii="Times New Roman" w:eastAsia="Calibri" w:hAnsi="Times New Roman" w:cs="Times New Roman"/>
          <w:sz w:val="24"/>
          <w:szCs w:val="28"/>
          <w:lang w:eastAsia="bg-BG"/>
        </w:rPr>
        <w:t xml:space="preserve"> </w:t>
      </w:r>
      <w:r w:rsidRPr="00DF0E52">
        <w:rPr>
          <w:rFonts w:ascii="Times New Roman" w:eastAsia="Calibri" w:hAnsi="Times New Roman" w:cs="Times New Roman"/>
          <w:sz w:val="24"/>
          <w:szCs w:val="28"/>
          <w:lang w:eastAsia="bg-BG"/>
        </w:rPr>
        <w:t xml:space="preserve">нар. „интелигентен растеж“ – икономика, която се основава на знания и иновации. Заложената целева стойност към 2020 г. в Европа 2020 е в размер на 3% от БВП, а за България тя е 1,5%. Повишаването на конкурентоспособността на българската икономика в районите, посредством развитие на икономика основана на иновации, прилагане на </w:t>
      </w:r>
      <w:r w:rsidR="00DB7031">
        <w:rPr>
          <w:rFonts w:ascii="Times New Roman" w:eastAsia="Calibri" w:hAnsi="Times New Roman" w:cs="Times New Roman"/>
          <w:sz w:val="24"/>
          <w:szCs w:val="28"/>
          <w:lang w:eastAsia="bg-BG"/>
        </w:rPr>
        <w:t>модерни технологии, разкриване</w:t>
      </w:r>
      <w:r w:rsidRPr="00DF0E52">
        <w:rPr>
          <w:rFonts w:ascii="Times New Roman" w:eastAsia="Calibri" w:hAnsi="Times New Roman" w:cs="Times New Roman"/>
          <w:sz w:val="24"/>
          <w:szCs w:val="28"/>
          <w:lang w:eastAsia="bg-BG"/>
        </w:rPr>
        <w:t xml:space="preserve"> на нови работни места, е основен фокус в НСРР 2005-2015, за да се намалят различията на регионално ниво. През оценявания период, относителният дял на разходите за НИРД от БВП в България е нараснал от 0,44% през 2005 г. до 0,78% през 2014, но това все още е далеч от заложената стойност от 1,5% от БВП за 2020 г.</w:t>
      </w:r>
    </w:p>
    <w:p w:rsidR="00DF0E52" w:rsidRPr="00DF0E52" w:rsidRDefault="00687723" w:rsidP="002941E4">
      <w:pPr>
        <w:spacing w:after="0" w:line="360" w:lineRule="auto"/>
        <w:ind w:firstLine="720"/>
        <w:jc w:val="both"/>
        <w:rPr>
          <w:rFonts w:ascii="Times New Roman" w:eastAsia="Calibri" w:hAnsi="Times New Roman" w:cs="Times New Roman"/>
          <w:sz w:val="24"/>
          <w:szCs w:val="28"/>
          <w:lang w:eastAsia="bg-BG"/>
        </w:rPr>
      </w:pPr>
      <w:r>
        <w:rPr>
          <w:rFonts w:ascii="Times New Roman" w:eastAsia="Calibri" w:hAnsi="Times New Roman" w:cs="Times New Roman"/>
          <w:sz w:val="24"/>
          <w:szCs w:val="28"/>
          <w:lang w:eastAsia="bg-BG"/>
        </w:rPr>
        <w:t>Повишаването на конкуренто</w:t>
      </w:r>
      <w:r w:rsidR="00DF0E52" w:rsidRPr="00DF0E52">
        <w:rPr>
          <w:rFonts w:ascii="Times New Roman" w:eastAsia="Calibri" w:hAnsi="Times New Roman" w:cs="Times New Roman"/>
          <w:sz w:val="24"/>
          <w:szCs w:val="28"/>
          <w:lang w:eastAsia="bg-BG"/>
        </w:rPr>
        <w:t>способност</w:t>
      </w:r>
      <w:r>
        <w:rPr>
          <w:rFonts w:ascii="Times New Roman" w:eastAsia="Calibri" w:hAnsi="Times New Roman" w:cs="Times New Roman"/>
          <w:sz w:val="24"/>
          <w:szCs w:val="28"/>
          <w:lang w:eastAsia="bg-BG"/>
        </w:rPr>
        <w:t>та</w:t>
      </w:r>
      <w:r w:rsidR="00DF0E52" w:rsidRPr="00DF0E52">
        <w:rPr>
          <w:rFonts w:ascii="Times New Roman" w:eastAsia="Calibri" w:hAnsi="Times New Roman" w:cs="Times New Roman"/>
          <w:sz w:val="24"/>
          <w:szCs w:val="28"/>
          <w:lang w:eastAsia="bg-BG"/>
        </w:rPr>
        <w:t xml:space="preserve"> на районите, основана на икономика на знанието и въвеждането на високотехнологични производства, зависи от взаимодействието между образователната система, научно-изследователс</w:t>
      </w:r>
      <w:r w:rsidR="00F46935">
        <w:rPr>
          <w:rFonts w:ascii="Times New Roman" w:eastAsia="Calibri" w:hAnsi="Times New Roman" w:cs="Times New Roman"/>
          <w:sz w:val="24"/>
          <w:szCs w:val="28"/>
          <w:lang w:eastAsia="bg-BG"/>
        </w:rPr>
        <w:t>ките институти и бизнес-сектора</w:t>
      </w:r>
      <w:r w:rsidR="00DF0E52" w:rsidRPr="00DF0E52">
        <w:rPr>
          <w:rFonts w:ascii="Times New Roman" w:eastAsia="Calibri" w:hAnsi="Times New Roman" w:cs="Times New Roman"/>
          <w:sz w:val="24"/>
          <w:szCs w:val="28"/>
          <w:lang w:eastAsia="bg-BG"/>
        </w:rPr>
        <w:t xml:space="preserve"> с неговите потребности. Такава целева насоченост </w:t>
      </w:r>
      <w:r>
        <w:rPr>
          <w:rFonts w:ascii="Times New Roman" w:eastAsia="Calibri" w:hAnsi="Times New Roman" w:cs="Times New Roman"/>
          <w:sz w:val="24"/>
          <w:szCs w:val="28"/>
          <w:lang w:eastAsia="bg-BG"/>
        </w:rPr>
        <w:t>е</w:t>
      </w:r>
      <w:r w:rsidR="00DF0E52" w:rsidRPr="00DF0E52">
        <w:rPr>
          <w:rFonts w:ascii="Times New Roman" w:eastAsia="Calibri" w:hAnsi="Times New Roman" w:cs="Times New Roman"/>
          <w:sz w:val="24"/>
          <w:szCs w:val="28"/>
          <w:lang w:eastAsia="bg-BG"/>
        </w:rPr>
        <w:t xml:space="preserve"> застъпена в НСРР</w:t>
      </w:r>
      <w:r>
        <w:rPr>
          <w:rFonts w:ascii="Times New Roman" w:eastAsia="Calibri" w:hAnsi="Times New Roman" w:cs="Times New Roman"/>
          <w:sz w:val="24"/>
          <w:szCs w:val="28"/>
          <w:lang w:eastAsia="bg-BG"/>
        </w:rPr>
        <w:t>,</w:t>
      </w:r>
      <w:r w:rsidR="00DF0E52" w:rsidRPr="00DF0E52">
        <w:rPr>
          <w:rFonts w:ascii="Times New Roman" w:eastAsia="Calibri" w:hAnsi="Times New Roman" w:cs="Times New Roman"/>
          <w:sz w:val="24"/>
          <w:szCs w:val="28"/>
          <w:lang w:eastAsia="bg-BG"/>
        </w:rPr>
        <w:t xml:space="preserve"> </w:t>
      </w:r>
      <w:r>
        <w:rPr>
          <w:rFonts w:ascii="Times New Roman" w:eastAsia="Calibri" w:hAnsi="Times New Roman" w:cs="Times New Roman"/>
          <w:sz w:val="24"/>
          <w:szCs w:val="28"/>
          <w:lang w:eastAsia="bg-BG"/>
        </w:rPr>
        <w:t xml:space="preserve">но </w:t>
      </w:r>
      <w:r w:rsidR="00DF0E52" w:rsidRPr="00DF0E52">
        <w:rPr>
          <w:rFonts w:ascii="Times New Roman" w:eastAsia="Calibri" w:hAnsi="Times New Roman" w:cs="Times New Roman"/>
          <w:sz w:val="24"/>
          <w:szCs w:val="28"/>
          <w:lang w:eastAsia="bg-BG"/>
        </w:rPr>
        <w:t xml:space="preserve">в политиките </w:t>
      </w:r>
      <w:r>
        <w:rPr>
          <w:rFonts w:ascii="Times New Roman" w:eastAsia="Calibri" w:hAnsi="Times New Roman" w:cs="Times New Roman"/>
          <w:sz w:val="24"/>
          <w:szCs w:val="28"/>
          <w:lang w:eastAsia="bg-BG"/>
        </w:rPr>
        <w:t xml:space="preserve">за развитие </w:t>
      </w:r>
      <w:r w:rsidR="00DF0E52" w:rsidRPr="00DF0E52">
        <w:rPr>
          <w:rFonts w:ascii="Times New Roman" w:eastAsia="Calibri" w:hAnsi="Times New Roman" w:cs="Times New Roman"/>
          <w:sz w:val="24"/>
          <w:szCs w:val="28"/>
          <w:lang w:eastAsia="bg-BG"/>
        </w:rPr>
        <w:t>на отделните райони</w:t>
      </w:r>
      <w:r>
        <w:rPr>
          <w:rFonts w:ascii="Times New Roman" w:eastAsia="Calibri" w:hAnsi="Times New Roman" w:cs="Times New Roman"/>
          <w:sz w:val="24"/>
          <w:szCs w:val="28"/>
          <w:lang w:eastAsia="bg-BG"/>
        </w:rPr>
        <w:t xml:space="preserve"> реализацията е твърде фрагментарна и небалансирана.</w:t>
      </w:r>
    </w:p>
    <w:p w:rsidR="00DF0E52" w:rsidRPr="00DF0E52" w:rsidRDefault="00DF0E52" w:rsidP="002941E4">
      <w:pPr>
        <w:spacing w:after="0" w:line="360" w:lineRule="auto"/>
        <w:ind w:firstLine="720"/>
        <w:jc w:val="both"/>
        <w:rPr>
          <w:rFonts w:ascii="Times New Roman" w:eastAsia="Calibri" w:hAnsi="Times New Roman" w:cs="Times New Roman"/>
          <w:sz w:val="24"/>
          <w:szCs w:val="28"/>
          <w:lang w:eastAsia="bg-BG"/>
        </w:rPr>
      </w:pPr>
      <w:r w:rsidRPr="00DF0E52">
        <w:rPr>
          <w:rFonts w:ascii="Times New Roman" w:eastAsia="Calibri" w:hAnsi="Times New Roman" w:cs="Times New Roman"/>
          <w:sz w:val="24"/>
          <w:szCs w:val="28"/>
          <w:lang w:eastAsia="bg-BG"/>
        </w:rPr>
        <w:t>България има добри предпоставки за ефективно развитие на туризма и нарастване на потенциала на туристическата индустрия – благоприятно географско положение, съхранени природни дадености и богато културно и историческо наследство. Тези фактори допринасят за стабилното развитие на туризма през последните 10 години в страната, въпреки негативното влияние на финансовата и икономическа криза</w:t>
      </w:r>
      <w:r w:rsidR="00F46935">
        <w:rPr>
          <w:rFonts w:ascii="Times New Roman" w:eastAsia="Calibri" w:hAnsi="Times New Roman" w:cs="Times New Roman"/>
          <w:sz w:val="24"/>
          <w:szCs w:val="28"/>
          <w:lang w:eastAsia="bg-BG"/>
        </w:rPr>
        <w:t xml:space="preserve"> и регионалните конфликти</w:t>
      </w:r>
      <w:r w:rsidRPr="00DF0E52">
        <w:rPr>
          <w:rFonts w:ascii="Times New Roman" w:eastAsia="Calibri" w:hAnsi="Times New Roman" w:cs="Times New Roman"/>
          <w:sz w:val="24"/>
          <w:szCs w:val="28"/>
          <w:lang w:eastAsia="bg-BG"/>
        </w:rPr>
        <w:t>. Наличието на атрактивна природна среда и природни ресурси дават възможности за развитие на морски, яхтен, ски, екологичен, аграрен, приключенски и винен туризъм, развитие на рибарството и аквакултурите. Концентрацията на множество недвижими културни ценности е предпоставка за развитие на културен и религиозен туризъм.</w:t>
      </w:r>
    </w:p>
    <w:p w:rsidR="006A1067" w:rsidRPr="006A1067" w:rsidRDefault="00DF0E52" w:rsidP="002941E4">
      <w:pPr>
        <w:spacing w:after="0" w:line="360" w:lineRule="auto"/>
        <w:ind w:firstLine="720"/>
        <w:jc w:val="both"/>
        <w:rPr>
          <w:rFonts w:ascii="Times New Roman" w:eastAsia="Calibri" w:hAnsi="Times New Roman" w:cs="Times New Roman"/>
          <w:sz w:val="24"/>
          <w:szCs w:val="28"/>
          <w:lang w:eastAsia="bg-BG"/>
        </w:rPr>
      </w:pPr>
      <w:r w:rsidRPr="00DF0E52">
        <w:rPr>
          <w:rFonts w:ascii="Times New Roman" w:eastAsia="Calibri" w:hAnsi="Times New Roman" w:cs="Times New Roman"/>
          <w:sz w:val="24"/>
          <w:szCs w:val="28"/>
          <w:lang w:eastAsia="bg-BG"/>
        </w:rPr>
        <w:t xml:space="preserve">В туристическото развитие на регионално ниво съществуват ясно изразени диспропорции, въпреки наличието на добри условия почти във всички райони. Различията между районите се дължат преди всичко на разположението на природните рекреационни ресурси (на морското крайбрежие и в планините). </w:t>
      </w:r>
      <w:r w:rsidR="006A1067" w:rsidRPr="006A1067">
        <w:rPr>
          <w:rFonts w:ascii="Times New Roman" w:eastAsia="Calibri" w:hAnsi="Times New Roman" w:cs="Times New Roman"/>
          <w:sz w:val="24"/>
          <w:szCs w:val="28"/>
          <w:lang w:eastAsia="bg-BG"/>
        </w:rPr>
        <w:t>По данни на НСИ за 2015</w:t>
      </w:r>
      <w:r w:rsidR="006A1067">
        <w:rPr>
          <w:rFonts w:ascii="Times New Roman" w:eastAsia="Calibri" w:hAnsi="Times New Roman" w:cs="Times New Roman"/>
          <w:sz w:val="24"/>
          <w:szCs w:val="28"/>
          <w:lang w:eastAsia="bg-BG"/>
        </w:rPr>
        <w:t xml:space="preserve"> </w:t>
      </w:r>
      <w:r w:rsidR="006A1067" w:rsidRPr="006A1067">
        <w:rPr>
          <w:rFonts w:ascii="Times New Roman" w:eastAsia="Calibri" w:hAnsi="Times New Roman" w:cs="Times New Roman"/>
          <w:sz w:val="24"/>
          <w:szCs w:val="28"/>
          <w:lang w:eastAsia="bg-BG"/>
        </w:rPr>
        <w:t xml:space="preserve">г. в курортите с национално значение (Албена, Боровец, Дюни, Златни пясъци, Пампорово, ММЦ-Приморско, Св. Константин и Елена, Слънчев бряг) се намират </w:t>
      </w:r>
      <w:r w:rsidR="006A1067" w:rsidRPr="006A1067">
        <w:rPr>
          <w:rFonts w:ascii="Times New Roman" w:eastAsia="Calibri" w:hAnsi="Times New Roman" w:cs="Times New Roman"/>
          <w:sz w:val="24"/>
          <w:szCs w:val="28"/>
          <w:lang w:eastAsia="bg-BG"/>
        </w:rPr>
        <w:lastRenderedPageBreak/>
        <w:t>13,3% от местата за настаняване в страната, в които са 44,5% от леглата, реализират се 47,2% от нощувките и 50% от приходи от нощувки.</w:t>
      </w:r>
    </w:p>
    <w:p w:rsidR="00DF0E52" w:rsidRPr="00DF0E52" w:rsidRDefault="00DF0E52" w:rsidP="002941E4">
      <w:pPr>
        <w:spacing w:after="0" w:line="360" w:lineRule="auto"/>
        <w:ind w:firstLine="720"/>
        <w:jc w:val="both"/>
        <w:rPr>
          <w:rFonts w:ascii="Times New Roman" w:eastAsia="Calibri" w:hAnsi="Times New Roman" w:cs="Times New Roman"/>
          <w:sz w:val="24"/>
          <w:szCs w:val="28"/>
          <w:lang w:eastAsia="bg-BG"/>
        </w:rPr>
      </w:pPr>
      <w:r w:rsidRPr="00DF0E52">
        <w:rPr>
          <w:rFonts w:ascii="Times New Roman" w:eastAsia="Calibri" w:hAnsi="Times New Roman" w:cs="Times New Roman"/>
          <w:sz w:val="24"/>
          <w:szCs w:val="28"/>
          <w:lang w:eastAsia="bg-BG"/>
        </w:rPr>
        <w:t xml:space="preserve">  </w:t>
      </w:r>
    </w:p>
    <w:p w:rsidR="00DF0E52" w:rsidRPr="00DF0E52" w:rsidRDefault="004D0C92" w:rsidP="004D0C92">
      <w:pPr>
        <w:spacing w:after="0" w:line="360" w:lineRule="auto"/>
        <w:ind w:left="720"/>
        <w:jc w:val="both"/>
        <w:rPr>
          <w:rFonts w:ascii="Times New Roman" w:eastAsia="Calibri" w:hAnsi="Times New Roman" w:cs="Times New Roman"/>
          <w:i/>
          <w:sz w:val="24"/>
          <w:szCs w:val="28"/>
          <w:lang w:eastAsia="bg-BG"/>
        </w:rPr>
      </w:pPr>
      <w:r>
        <w:rPr>
          <w:rFonts w:ascii="Times New Roman" w:eastAsia="Calibri" w:hAnsi="Times New Roman" w:cs="Times New Roman"/>
          <w:i/>
          <w:sz w:val="24"/>
          <w:szCs w:val="28"/>
          <w:lang w:eastAsia="bg-BG"/>
        </w:rPr>
        <w:t>2.2.</w:t>
      </w:r>
      <w:r w:rsidR="00F46935">
        <w:rPr>
          <w:rFonts w:ascii="Times New Roman" w:eastAsia="Calibri" w:hAnsi="Times New Roman" w:cs="Times New Roman"/>
          <w:i/>
          <w:sz w:val="24"/>
          <w:szCs w:val="28"/>
          <w:lang w:eastAsia="bg-BG"/>
        </w:rPr>
        <w:t xml:space="preserve"> </w:t>
      </w:r>
      <w:r w:rsidR="00DF0E52" w:rsidRPr="00DF0E52">
        <w:rPr>
          <w:rFonts w:ascii="Times New Roman" w:eastAsia="Calibri" w:hAnsi="Times New Roman" w:cs="Times New Roman"/>
          <w:i/>
          <w:sz w:val="24"/>
          <w:szCs w:val="28"/>
          <w:lang w:eastAsia="bg-BG"/>
        </w:rPr>
        <w:t xml:space="preserve">Намаляване на регионалните диспропорции в социалната сфера чрез развитие и реализация на човешкия капитал </w:t>
      </w:r>
    </w:p>
    <w:p w:rsidR="00DF0E52" w:rsidRPr="00DF0E52" w:rsidRDefault="00DF0E52" w:rsidP="002941E4">
      <w:pPr>
        <w:spacing w:after="0" w:line="360" w:lineRule="auto"/>
        <w:ind w:firstLine="720"/>
        <w:jc w:val="both"/>
        <w:rPr>
          <w:rFonts w:ascii="Times New Roman" w:eastAsia="Calibri" w:hAnsi="Times New Roman" w:cs="Times New Roman"/>
          <w:sz w:val="24"/>
          <w:szCs w:val="28"/>
          <w:lang w:eastAsia="bg-BG"/>
        </w:rPr>
      </w:pPr>
      <w:r w:rsidRPr="00DF0E52">
        <w:rPr>
          <w:rFonts w:ascii="Times New Roman" w:eastAsia="Calibri" w:hAnsi="Times New Roman" w:cs="Times New Roman"/>
          <w:sz w:val="24"/>
          <w:szCs w:val="28"/>
          <w:lang w:eastAsia="bg-BG"/>
        </w:rPr>
        <w:t>Демографското развитие на районите се влияе основно от икономическото състояние, наличието на работни места, възможностите за образование, за професионална реализация, условията за живот. През 2015 г. продължава процесът на застаряване на населението в страната, който е характерен и за по-голямата част от страните в Европа. По данни на НСИ значително нисък е относителният дял на лицата на възраст до 15 години – 14,0%, а този на населението над 65-годишна възраст непрекъснато нараства и  в момента е 20,4%.</w:t>
      </w:r>
      <w:r w:rsidR="0028074E" w:rsidRPr="0028074E">
        <w:rPr>
          <w:rFonts w:ascii="Times New Roman" w:eastAsia="Calibri" w:hAnsi="Times New Roman" w:cs="Times New Roman"/>
          <w:sz w:val="24"/>
          <w:szCs w:val="24"/>
        </w:rPr>
        <w:t xml:space="preserve"> </w:t>
      </w:r>
      <w:r w:rsidR="0028074E" w:rsidRPr="0028074E">
        <w:rPr>
          <w:rFonts w:ascii="Times New Roman" w:eastAsia="Calibri" w:hAnsi="Times New Roman" w:cs="Times New Roman"/>
          <w:sz w:val="24"/>
          <w:szCs w:val="28"/>
          <w:lang w:eastAsia="bg-BG"/>
        </w:rPr>
        <w:t xml:space="preserve">Тенденцията на застаряване на населението довежда до </w:t>
      </w:r>
      <w:r w:rsidR="00F46935">
        <w:rPr>
          <w:rFonts w:ascii="Times New Roman" w:eastAsia="Calibri" w:hAnsi="Times New Roman" w:cs="Times New Roman"/>
          <w:sz w:val="24"/>
          <w:szCs w:val="28"/>
          <w:lang w:eastAsia="bg-BG"/>
        </w:rPr>
        <w:t xml:space="preserve">неблагоприятни </w:t>
      </w:r>
      <w:r w:rsidR="0028074E" w:rsidRPr="0028074E">
        <w:rPr>
          <w:rFonts w:ascii="Times New Roman" w:eastAsia="Calibri" w:hAnsi="Times New Roman" w:cs="Times New Roman"/>
          <w:sz w:val="24"/>
          <w:szCs w:val="28"/>
          <w:lang w:eastAsia="bg-BG"/>
        </w:rPr>
        <w:t>промени в неговата възрастова структура.</w:t>
      </w:r>
    </w:p>
    <w:p w:rsidR="00DF0E52" w:rsidRPr="00DF0E52" w:rsidRDefault="00DF0E52" w:rsidP="002941E4">
      <w:pPr>
        <w:spacing w:after="0" w:line="360" w:lineRule="auto"/>
        <w:ind w:firstLine="720"/>
        <w:jc w:val="both"/>
        <w:rPr>
          <w:rFonts w:ascii="Times New Roman" w:eastAsia="Calibri" w:hAnsi="Times New Roman" w:cs="Times New Roman"/>
          <w:sz w:val="24"/>
          <w:szCs w:val="28"/>
          <w:lang w:eastAsia="bg-BG"/>
        </w:rPr>
      </w:pPr>
      <w:r w:rsidRPr="00DF0E52">
        <w:rPr>
          <w:rFonts w:ascii="Times New Roman" w:eastAsia="Calibri" w:hAnsi="Times New Roman" w:cs="Times New Roman"/>
          <w:sz w:val="24"/>
          <w:szCs w:val="28"/>
          <w:lang w:eastAsia="bg-BG"/>
        </w:rPr>
        <w:t xml:space="preserve">Застаряването на населението налага прилагането на интегрирана политика за пълноценно използване на наличните човешки ресурси и целенасочено инвестиране в развитие и повишаване на качеството на човешкия капитал. Усилията трябва да бъдат насочени към повишаване качеството на работната сила, професионалната квалификация и преквалификация, </w:t>
      </w:r>
      <w:r w:rsidR="00F46935">
        <w:rPr>
          <w:rFonts w:ascii="Times New Roman" w:eastAsia="Calibri" w:hAnsi="Times New Roman" w:cs="Times New Roman"/>
          <w:sz w:val="24"/>
          <w:szCs w:val="28"/>
          <w:lang w:eastAsia="bg-BG"/>
        </w:rPr>
        <w:t xml:space="preserve">учене през целия живот, </w:t>
      </w:r>
      <w:r w:rsidRPr="00DF0E52">
        <w:rPr>
          <w:rFonts w:ascii="Times New Roman" w:eastAsia="Calibri" w:hAnsi="Times New Roman" w:cs="Times New Roman"/>
          <w:sz w:val="24"/>
          <w:szCs w:val="28"/>
          <w:lang w:eastAsia="bg-BG"/>
        </w:rPr>
        <w:t>осигуряване на заетост на безработните над 50-годишна възраст и подобряване на съответствието между търсенето и предлагането на труд.</w:t>
      </w:r>
    </w:p>
    <w:p w:rsidR="00191C1C" w:rsidRPr="007F33ED" w:rsidRDefault="00191C1C" w:rsidP="002941E4">
      <w:pPr>
        <w:widowControl w:val="0"/>
        <w:autoSpaceDE w:val="0"/>
        <w:autoSpaceDN w:val="0"/>
        <w:adjustRightInd w:val="0"/>
        <w:spacing w:after="0" w:line="360" w:lineRule="auto"/>
        <w:ind w:right="22" w:firstLine="708"/>
        <w:jc w:val="both"/>
        <w:rPr>
          <w:rFonts w:ascii="Times New Roman" w:eastAsia="Times New Roman" w:hAnsi="Times New Roman" w:cs="Times New Roman"/>
          <w:sz w:val="24"/>
          <w:szCs w:val="24"/>
          <w:lang w:eastAsia="bg-BG"/>
        </w:rPr>
      </w:pPr>
      <w:r w:rsidRPr="00F67CC4">
        <w:rPr>
          <w:rFonts w:ascii="Times New Roman" w:eastAsia="Times New Roman" w:hAnsi="Times New Roman" w:cs="Times New Roman"/>
          <w:sz w:val="24"/>
          <w:szCs w:val="24"/>
          <w:lang w:eastAsia="bg-BG"/>
        </w:rPr>
        <w:t xml:space="preserve">С най-висок коефициент на икономическа активност </w:t>
      </w:r>
      <w:r>
        <w:rPr>
          <w:rFonts w:ascii="Times New Roman" w:eastAsia="Times New Roman" w:hAnsi="Times New Roman" w:cs="Times New Roman"/>
          <w:sz w:val="24"/>
          <w:szCs w:val="24"/>
          <w:lang w:eastAsia="bg-BG"/>
        </w:rPr>
        <w:t xml:space="preserve">на населението </w:t>
      </w:r>
      <w:r w:rsidRPr="00F67CC4">
        <w:rPr>
          <w:rFonts w:ascii="Times New Roman" w:eastAsia="Times New Roman" w:hAnsi="Times New Roman" w:cs="Times New Roman"/>
          <w:sz w:val="24"/>
          <w:szCs w:val="24"/>
          <w:lang w:eastAsia="bg-BG"/>
        </w:rPr>
        <w:t xml:space="preserve">през 2015 г. доминира Югозападният район (58,4%). Това е резултат от притегателната сила на столицата като град с добри възможности за професионална реализация. След него се нарежда Североизточен район. Най-слабо е нарастването и най-ниска е стойността при Северозападен район – 46,6%. Останалите райони от ниво 2 към 31.12.2015 г. имат коефициент на икономическа активност под или около </w:t>
      </w:r>
      <w:r>
        <w:rPr>
          <w:rFonts w:ascii="Times New Roman" w:eastAsia="Times New Roman" w:hAnsi="Times New Roman" w:cs="Times New Roman"/>
          <w:sz w:val="24"/>
          <w:szCs w:val="24"/>
          <w:lang w:eastAsia="bg-BG"/>
        </w:rPr>
        <w:t xml:space="preserve">средната за страната  (54.1%). </w:t>
      </w:r>
    </w:p>
    <w:p w:rsidR="00191C1C" w:rsidRPr="00F67CC4" w:rsidRDefault="00191C1C" w:rsidP="002941E4">
      <w:pPr>
        <w:widowControl w:val="0"/>
        <w:autoSpaceDE w:val="0"/>
        <w:autoSpaceDN w:val="0"/>
        <w:adjustRightInd w:val="0"/>
        <w:spacing w:after="0" w:line="360" w:lineRule="auto"/>
        <w:ind w:right="22" w:firstLine="708"/>
        <w:jc w:val="both"/>
        <w:rPr>
          <w:rFonts w:ascii="Times New Roman" w:eastAsia="Times New Roman" w:hAnsi="Times New Roman" w:cs="Times New Roman"/>
          <w:sz w:val="24"/>
          <w:szCs w:val="24"/>
          <w:lang w:eastAsia="bg-BG"/>
        </w:rPr>
      </w:pPr>
      <w:r w:rsidRPr="00191C1C">
        <w:rPr>
          <w:rFonts w:ascii="Times New Roman" w:eastAsia="Times New Roman" w:hAnsi="Times New Roman" w:cs="Times New Roman"/>
          <w:sz w:val="24"/>
          <w:szCs w:val="24"/>
          <w:lang w:eastAsia="bg-BG"/>
        </w:rPr>
        <w:t xml:space="preserve">Заетостта </w:t>
      </w:r>
      <w:r w:rsidRPr="00F67CC4">
        <w:rPr>
          <w:rFonts w:ascii="Times New Roman" w:eastAsia="Times New Roman" w:hAnsi="Times New Roman" w:cs="Times New Roman"/>
          <w:sz w:val="24"/>
          <w:szCs w:val="24"/>
          <w:lang w:eastAsia="bg-BG"/>
        </w:rPr>
        <w:t xml:space="preserve">в страната през периода 2005-2015 г. бележи динамични промени поради възникналата икономическа криза в средата на периода, вследствие на която броят на заетите в годините 2009-2013 намалява. След 2014 г. стойностите се възстановяват и през 2015 г. регистрираният брой заети надвишава този в началото на периода.   </w:t>
      </w:r>
    </w:p>
    <w:p w:rsidR="00191C1C" w:rsidRDefault="00191C1C" w:rsidP="002941E4">
      <w:pPr>
        <w:spacing w:after="0" w:line="360" w:lineRule="auto"/>
        <w:ind w:firstLine="708"/>
        <w:jc w:val="both"/>
        <w:rPr>
          <w:rFonts w:ascii="Times New Roman" w:eastAsia="Calibri" w:hAnsi="Times New Roman" w:cs="Times New Roman"/>
          <w:color w:val="000000"/>
          <w:sz w:val="24"/>
          <w:szCs w:val="24"/>
        </w:rPr>
      </w:pPr>
      <w:r w:rsidRPr="00F67CC4">
        <w:rPr>
          <w:rFonts w:ascii="Times New Roman" w:eastAsia="Calibri" w:hAnsi="Times New Roman" w:cs="Times New Roman"/>
          <w:color w:val="000000"/>
          <w:sz w:val="24"/>
          <w:szCs w:val="24"/>
        </w:rPr>
        <w:t xml:space="preserve">През периода 2005-2015 г. броят на </w:t>
      </w:r>
      <w:r w:rsidRPr="00191C1C">
        <w:rPr>
          <w:rFonts w:ascii="Times New Roman" w:eastAsia="Calibri" w:hAnsi="Times New Roman" w:cs="Times New Roman"/>
          <w:color w:val="000000"/>
          <w:sz w:val="24"/>
          <w:szCs w:val="24"/>
        </w:rPr>
        <w:t xml:space="preserve">безработните </w:t>
      </w:r>
      <w:r w:rsidRPr="00F67CC4">
        <w:rPr>
          <w:rFonts w:ascii="Times New Roman" w:eastAsia="Calibri" w:hAnsi="Times New Roman" w:cs="Times New Roman"/>
          <w:color w:val="000000"/>
          <w:sz w:val="24"/>
          <w:szCs w:val="24"/>
        </w:rPr>
        <w:t xml:space="preserve">в страната варира значително. Годините 2005-2008 г. се характеризират с непрекъснато намаление на безработицата. През 2008 г. броят на безработните лица е 199,7 хил. при 334,2 хил. в началото на </w:t>
      </w:r>
      <w:r w:rsidRPr="00F67CC4">
        <w:rPr>
          <w:rFonts w:ascii="Times New Roman" w:eastAsia="Calibri" w:hAnsi="Times New Roman" w:cs="Times New Roman"/>
          <w:color w:val="000000"/>
          <w:sz w:val="24"/>
          <w:szCs w:val="24"/>
        </w:rPr>
        <w:lastRenderedPageBreak/>
        <w:t xml:space="preserve">разглеждания период. </w:t>
      </w:r>
      <w:r>
        <w:rPr>
          <w:rFonts w:ascii="Times New Roman" w:eastAsia="Calibri" w:hAnsi="Times New Roman" w:cs="Times New Roman"/>
          <w:color w:val="000000"/>
          <w:sz w:val="24"/>
          <w:szCs w:val="24"/>
        </w:rPr>
        <w:t>Данните за периода 2005</w:t>
      </w:r>
      <w:r w:rsidRPr="00F67CC4">
        <w:rPr>
          <w:rFonts w:ascii="Times New Roman" w:eastAsia="Calibri" w:hAnsi="Times New Roman" w:cs="Times New Roman"/>
          <w:color w:val="000000"/>
          <w:sz w:val="24"/>
          <w:szCs w:val="24"/>
        </w:rPr>
        <w:t xml:space="preserve">-2015 г. показват обща положителна тенденция на намаляване коефициента на безработица на населението в национален и регионален план. </w:t>
      </w:r>
    </w:p>
    <w:p w:rsidR="00191C1C" w:rsidRPr="00DF0E52" w:rsidRDefault="00191C1C" w:rsidP="002941E4">
      <w:pPr>
        <w:spacing w:after="0" w:line="360" w:lineRule="auto"/>
        <w:ind w:firstLine="720"/>
        <w:jc w:val="both"/>
        <w:rPr>
          <w:rFonts w:ascii="Times New Roman" w:eastAsia="Calibri" w:hAnsi="Times New Roman" w:cs="Times New Roman"/>
          <w:sz w:val="24"/>
          <w:szCs w:val="28"/>
          <w:lang w:eastAsia="bg-BG"/>
        </w:rPr>
      </w:pPr>
      <w:r w:rsidRPr="00191C1C">
        <w:rPr>
          <w:rFonts w:ascii="Times New Roman" w:eastAsia="Calibri" w:hAnsi="Times New Roman" w:cs="Times New Roman"/>
          <w:color w:val="000000"/>
          <w:sz w:val="24"/>
          <w:szCs w:val="24"/>
        </w:rPr>
        <w:t xml:space="preserve">През периода 2005 – 2015 г. структурата на </w:t>
      </w:r>
      <w:r w:rsidRPr="00422C08">
        <w:rPr>
          <w:rFonts w:ascii="Times New Roman" w:eastAsia="Calibri" w:hAnsi="Times New Roman" w:cs="Times New Roman"/>
          <w:color w:val="000000"/>
          <w:sz w:val="24"/>
          <w:szCs w:val="24"/>
        </w:rPr>
        <w:t>образованието</w:t>
      </w:r>
      <w:r w:rsidRPr="00191C1C">
        <w:rPr>
          <w:rFonts w:ascii="Times New Roman" w:eastAsia="Calibri" w:hAnsi="Times New Roman" w:cs="Times New Roman"/>
          <w:b/>
          <w:color w:val="000000"/>
          <w:sz w:val="24"/>
          <w:szCs w:val="24"/>
        </w:rPr>
        <w:t xml:space="preserve"> </w:t>
      </w:r>
      <w:r w:rsidRPr="00191C1C">
        <w:rPr>
          <w:rFonts w:ascii="Times New Roman" w:eastAsia="Calibri" w:hAnsi="Times New Roman" w:cs="Times New Roman"/>
          <w:color w:val="000000"/>
          <w:sz w:val="24"/>
          <w:szCs w:val="24"/>
        </w:rPr>
        <w:t xml:space="preserve">в страната като цяло се подобрява. Това се забелязва по отношение на висшето образование, където относителният дял на населението на възраст между 25-64 години с висше образование в периода 2005 – 2014 г. бележи значителен ръст във всички региони на страната. </w:t>
      </w:r>
      <w:r w:rsidRPr="00DF0E52">
        <w:rPr>
          <w:rFonts w:ascii="Times New Roman" w:eastAsia="Calibri" w:hAnsi="Times New Roman" w:cs="Times New Roman"/>
          <w:sz w:val="24"/>
          <w:szCs w:val="28"/>
          <w:lang w:eastAsia="bg-BG"/>
        </w:rPr>
        <w:t>Тази тенденция обаче се проявява по различен начин в отделните райони. В отговор на Стратегия “Европа 2020”, България е поела ангажимент да повиши дела на населението от 30-34 години със завършено висше образование на 36%</w:t>
      </w:r>
      <w:r w:rsidR="00372ECB">
        <w:rPr>
          <w:rFonts w:ascii="Times New Roman" w:eastAsia="Calibri" w:hAnsi="Times New Roman" w:cs="Times New Roman"/>
          <w:sz w:val="24"/>
          <w:szCs w:val="28"/>
          <w:lang w:eastAsia="bg-BG"/>
        </w:rPr>
        <w:t>, като към края на 2015 г. е постигнат дял от 32,1%, както</w:t>
      </w:r>
      <w:r w:rsidRPr="00DF0E52">
        <w:rPr>
          <w:rFonts w:ascii="Times New Roman" w:eastAsia="Calibri" w:hAnsi="Times New Roman" w:cs="Times New Roman"/>
          <w:sz w:val="24"/>
          <w:szCs w:val="28"/>
          <w:lang w:eastAsia="bg-BG"/>
        </w:rPr>
        <w:t xml:space="preserve"> и да намали дела на преждевременно напусналите образование до 11%</w:t>
      </w:r>
      <w:r w:rsidR="00372ECB">
        <w:rPr>
          <w:rFonts w:ascii="Times New Roman" w:eastAsia="Calibri" w:hAnsi="Times New Roman" w:cs="Times New Roman"/>
          <w:sz w:val="24"/>
          <w:szCs w:val="28"/>
          <w:lang w:eastAsia="bg-BG"/>
        </w:rPr>
        <w:t>, достигащ към момента 13,4%</w:t>
      </w:r>
      <w:r w:rsidRPr="00DF0E52">
        <w:rPr>
          <w:rFonts w:ascii="Times New Roman" w:eastAsia="Calibri" w:hAnsi="Times New Roman" w:cs="Times New Roman"/>
          <w:sz w:val="24"/>
          <w:szCs w:val="28"/>
          <w:lang w:eastAsia="bg-BG"/>
        </w:rPr>
        <w:t>.</w:t>
      </w:r>
    </w:p>
    <w:p w:rsidR="00191C1C" w:rsidRPr="00191C1C" w:rsidRDefault="00191C1C" w:rsidP="002941E4">
      <w:pPr>
        <w:spacing w:after="0" w:line="360" w:lineRule="auto"/>
        <w:ind w:firstLine="708"/>
        <w:jc w:val="both"/>
        <w:rPr>
          <w:rFonts w:ascii="Times New Roman" w:eastAsia="Calibri" w:hAnsi="Times New Roman" w:cs="Times New Roman"/>
          <w:color w:val="000000"/>
          <w:sz w:val="24"/>
          <w:szCs w:val="24"/>
        </w:rPr>
      </w:pPr>
      <w:r w:rsidRPr="00191C1C">
        <w:rPr>
          <w:rFonts w:ascii="Times New Roman" w:eastAsia="Calibri" w:hAnsi="Times New Roman" w:cs="Times New Roman"/>
          <w:color w:val="000000"/>
          <w:sz w:val="24"/>
          <w:szCs w:val="24"/>
        </w:rPr>
        <w:t xml:space="preserve">В сектора </w:t>
      </w:r>
      <w:r w:rsidR="00FF19C5">
        <w:rPr>
          <w:rFonts w:ascii="Times New Roman" w:eastAsia="Calibri" w:hAnsi="Times New Roman" w:cs="Times New Roman"/>
          <w:color w:val="000000"/>
          <w:sz w:val="24"/>
          <w:szCs w:val="24"/>
        </w:rPr>
        <w:t xml:space="preserve">на </w:t>
      </w:r>
      <w:r w:rsidRPr="00FF19C5">
        <w:rPr>
          <w:rFonts w:ascii="Times New Roman" w:eastAsia="Calibri" w:hAnsi="Times New Roman" w:cs="Times New Roman"/>
          <w:color w:val="000000"/>
          <w:sz w:val="24"/>
          <w:szCs w:val="24"/>
        </w:rPr>
        <w:t>здравеопазване</w:t>
      </w:r>
      <w:r w:rsidR="00FF19C5" w:rsidRPr="00FF19C5">
        <w:rPr>
          <w:rFonts w:ascii="Times New Roman" w:eastAsia="Calibri" w:hAnsi="Times New Roman" w:cs="Times New Roman"/>
          <w:color w:val="000000"/>
          <w:sz w:val="24"/>
          <w:szCs w:val="24"/>
        </w:rPr>
        <w:t>то</w:t>
      </w:r>
      <w:r w:rsidRPr="00191C1C">
        <w:rPr>
          <w:rFonts w:ascii="Times New Roman" w:eastAsia="Calibri" w:hAnsi="Times New Roman" w:cs="Times New Roman"/>
          <w:color w:val="000000"/>
          <w:sz w:val="24"/>
          <w:szCs w:val="24"/>
        </w:rPr>
        <w:t xml:space="preserve"> като цяло се наблюдават положителни тенденции по отношение на мрежата от здравни заведения за болнична и извънболнична помощ, осигуреността на населението с легла в здравните институции, както и с лекарска и стоматологична помощ. </w:t>
      </w:r>
    </w:p>
    <w:p w:rsidR="00191C1C" w:rsidRPr="00191C1C" w:rsidRDefault="00191C1C" w:rsidP="002941E4">
      <w:pPr>
        <w:spacing w:after="0" w:line="360" w:lineRule="auto"/>
        <w:ind w:firstLine="708"/>
        <w:jc w:val="both"/>
        <w:rPr>
          <w:rFonts w:ascii="Times New Roman" w:eastAsia="Calibri" w:hAnsi="Times New Roman" w:cs="Times New Roman"/>
          <w:color w:val="000000"/>
          <w:sz w:val="24"/>
          <w:szCs w:val="24"/>
        </w:rPr>
      </w:pPr>
      <w:r w:rsidRPr="00191C1C">
        <w:rPr>
          <w:rFonts w:ascii="Times New Roman" w:eastAsia="Calibri" w:hAnsi="Times New Roman" w:cs="Times New Roman"/>
          <w:color w:val="000000"/>
          <w:sz w:val="24"/>
          <w:szCs w:val="24"/>
        </w:rPr>
        <w:t>Системата за дългосрочни грижи и социални услуги в България се разширява значително през последните години в резултат на предприетите действия, насочени към осъществяване на този процес и предоставяне на повече базирани в общността и в семейна среда услуги. През последните 10 години броят на социалните услуги в общността бележи значителен ръст, съответно броят на специализираните институции намалява, като тези тенденции са валидни за всички региони.</w:t>
      </w:r>
    </w:p>
    <w:p w:rsidR="00DF0E52" w:rsidRPr="00DF0E52" w:rsidRDefault="00DF0E52" w:rsidP="002941E4">
      <w:pPr>
        <w:spacing w:after="0" w:line="360" w:lineRule="auto"/>
        <w:ind w:firstLine="720"/>
        <w:jc w:val="both"/>
        <w:rPr>
          <w:rFonts w:ascii="Times New Roman" w:eastAsia="Calibri" w:hAnsi="Times New Roman" w:cs="Times New Roman"/>
          <w:sz w:val="24"/>
          <w:szCs w:val="28"/>
          <w:lang w:eastAsia="bg-BG"/>
        </w:rPr>
      </w:pPr>
      <w:r w:rsidRPr="00DF0E52">
        <w:rPr>
          <w:rFonts w:ascii="Times New Roman" w:eastAsia="Calibri" w:hAnsi="Times New Roman" w:cs="Times New Roman"/>
          <w:sz w:val="24"/>
          <w:szCs w:val="28"/>
          <w:lang w:eastAsia="bg-BG"/>
        </w:rPr>
        <w:t>Ограничен е напредъкът в преодоляването на вътрешно регионалните различия/неравенства</w:t>
      </w:r>
      <w:r w:rsidR="00FF19C5">
        <w:rPr>
          <w:rFonts w:ascii="Times New Roman" w:eastAsia="Calibri" w:hAnsi="Times New Roman" w:cs="Times New Roman"/>
          <w:sz w:val="24"/>
          <w:szCs w:val="28"/>
          <w:lang w:eastAsia="bg-BG"/>
        </w:rPr>
        <w:t>, които остават значителни</w:t>
      </w:r>
      <w:r w:rsidRPr="00DF0E52">
        <w:rPr>
          <w:rFonts w:ascii="Times New Roman" w:eastAsia="Calibri" w:hAnsi="Times New Roman" w:cs="Times New Roman"/>
          <w:sz w:val="24"/>
          <w:szCs w:val="28"/>
          <w:lang w:eastAsia="bg-BG"/>
        </w:rPr>
        <w:t xml:space="preserve">. Проблеми като отрицателен естествен прираст на населението, високо ниво на детската смъртност, миграция, влошена възрастова структура, ниско равнище на заетост, се нуждаят от спешно предприемане на мерки. Целесъобразно е да бъде създаден и финансов инструмент и механизъм за консултиране и подпомагане на изоставащите </w:t>
      </w:r>
      <w:r w:rsidR="00F46935">
        <w:rPr>
          <w:rFonts w:ascii="Times New Roman" w:eastAsia="Calibri" w:hAnsi="Times New Roman" w:cs="Times New Roman"/>
          <w:sz w:val="24"/>
          <w:szCs w:val="28"/>
          <w:lang w:eastAsia="bg-BG"/>
        </w:rPr>
        <w:t xml:space="preserve">области и </w:t>
      </w:r>
      <w:r w:rsidRPr="00DF0E52">
        <w:rPr>
          <w:rFonts w:ascii="Times New Roman" w:eastAsia="Calibri" w:hAnsi="Times New Roman" w:cs="Times New Roman"/>
          <w:sz w:val="24"/>
          <w:szCs w:val="28"/>
          <w:lang w:eastAsia="bg-BG"/>
        </w:rPr>
        <w:t xml:space="preserve">общини с цел балансиране процесите на развитие вътре в районите. </w:t>
      </w:r>
    </w:p>
    <w:p w:rsidR="00DF0E52" w:rsidRPr="00DF0E52" w:rsidRDefault="00DF0E52" w:rsidP="002941E4">
      <w:pPr>
        <w:spacing w:after="0" w:line="360" w:lineRule="auto"/>
        <w:ind w:firstLine="720"/>
        <w:jc w:val="both"/>
        <w:rPr>
          <w:rFonts w:ascii="Times New Roman" w:eastAsia="Calibri" w:hAnsi="Times New Roman" w:cs="Times New Roman"/>
          <w:i/>
          <w:sz w:val="24"/>
          <w:szCs w:val="28"/>
          <w:lang w:eastAsia="bg-BG"/>
        </w:rPr>
      </w:pPr>
    </w:p>
    <w:p w:rsidR="00DF0E52" w:rsidRPr="00DF0E52" w:rsidRDefault="004D0C92" w:rsidP="009A2E7A">
      <w:pPr>
        <w:spacing w:after="0" w:line="360" w:lineRule="auto"/>
        <w:ind w:left="709"/>
        <w:jc w:val="both"/>
        <w:rPr>
          <w:rFonts w:ascii="Times New Roman" w:eastAsia="Calibri" w:hAnsi="Times New Roman" w:cs="Times New Roman"/>
          <w:i/>
          <w:sz w:val="24"/>
          <w:szCs w:val="28"/>
          <w:lang w:eastAsia="bg-BG"/>
        </w:rPr>
      </w:pPr>
      <w:r>
        <w:rPr>
          <w:rFonts w:ascii="Times New Roman" w:eastAsia="Calibri" w:hAnsi="Times New Roman" w:cs="Times New Roman"/>
          <w:i/>
          <w:sz w:val="24"/>
          <w:szCs w:val="28"/>
          <w:lang w:eastAsia="bg-BG"/>
        </w:rPr>
        <w:t>2.3.</w:t>
      </w:r>
      <w:r w:rsidR="00F46935">
        <w:rPr>
          <w:rFonts w:ascii="Times New Roman" w:eastAsia="Calibri" w:hAnsi="Times New Roman" w:cs="Times New Roman"/>
          <w:i/>
          <w:sz w:val="24"/>
          <w:szCs w:val="28"/>
          <w:lang w:eastAsia="bg-BG"/>
        </w:rPr>
        <w:t xml:space="preserve"> </w:t>
      </w:r>
      <w:r w:rsidR="00DF0E52" w:rsidRPr="00DF0E52">
        <w:rPr>
          <w:rFonts w:ascii="Times New Roman" w:eastAsia="Calibri" w:hAnsi="Times New Roman" w:cs="Times New Roman"/>
          <w:i/>
          <w:sz w:val="24"/>
          <w:szCs w:val="28"/>
          <w:lang w:eastAsia="bg-BG"/>
        </w:rPr>
        <w:t>Подобряване свързаността в районите и качеството на средата в населените места за постигане на балансирано териториално развитие</w:t>
      </w:r>
    </w:p>
    <w:p w:rsidR="00DF0E52" w:rsidRPr="00DF0E52" w:rsidRDefault="00DF0E52" w:rsidP="002941E4">
      <w:pPr>
        <w:spacing w:after="0" w:line="360" w:lineRule="auto"/>
        <w:ind w:firstLine="720"/>
        <w:jc w:val="both"/>
        <w:rPr>
          <w:rFonts w:ascii="Times New Roman" w:eastAsia="Calibri" w:hAnsi="Times New Roman" w:cs="Times New Roman"/>
          <w:sz w:val="24"/>
          <w:szCs w:val="28"/>
          <w:lang w:eastAsia="bg-BG"/>
        </w:rPr>
      </w:pPr>
      <w:r w:rsidRPr="00DF0E52">
        <w:rPr>
          <w:rFonts w:ascii="Times New Roman" w:eastAsia="Calibri" w:hAnsi="Times New Roman" w:cs="Times New Roman"/>
          <w:sz w:val="24"/>
          <w:szCs w:val="28"/>
          <w:lang w:eastAsia="bg-BG"/>
        </w:rPr>
        <w:t xml:space="preserve">Основен фактор за ефективното социално-икономическо функциониране, развитие и </w:t>
      </w:r>
      <w:r w:rsidR="000A27A6">
        <w:rPr>
          <w:rFonts w:ascii="Times New Roman" w:eastAsia="Calibri" w:hAnsi="Times New Roman" w:cs="Times New Roman"/>
          <w:sz w:val="24"/>
          <w:szCs w:val="28"/>
          <w:lang w:eastAsia="bg-BG"/>
        </w:rPr>
        <w:t>сближаване</w:t>
      </w:r>
      <w:r w:rsidRPr="00DF0E52">
        <w:rPr>
          <w:rFonts w:ascii="Times New Roman" w:eastAsia="Calibri" w:hAnsi="Times New Roman" w:cs="Times New Roman"/>
          <w:sz w:val="24"/>
          <w:szCs w:val="28"/>
          <w:lang w:eastAsia="bg-BG"/>
        </w:rPr>
        <w:t xml:space="preserve"> между районите и техните съставни територии е наличието на </w:t>
      </w:r>
      <w:r w:rsidRPr="00DF0E52">
        <w:rPr>
          <w:rFonts w:ascii="Times New Roman" w:eastAsia="Calibri" w:hAnsi="Times New Roman" w:cs="Times New Roman"/>
          <w:sz w:val="24"/>
          <w:szCs w:val="28"/>
          <w:lang w:eastAsia="bg-BG"/>
        </w:rPr>
        <w:lastRenderedPageBreak/>
        <w:t>добре развита и в добро състояние транспортна инфраструктура. Всички социално-икономически дейности се осъществяват и са пряко зависими от мобилността на населението и транспортната достъпност между отделни населени места, обекти на производството, туристически обекти и т.н.</w:t>
      </w:r>
    </w:p>
    <w:p w:rsidR="00DF0E52" w:rsidRDefault="0095562F" w:rsidP="002941E4">
      <w:pPr>
        <w:spacing w:after="0" w:line="360" w:lineRule="auto"/>
        <w:ind w:firstLine="720"/>
        <w:jc w:val="both"/>
        <w:rPr>
          <w:rFonts w:ascii="Times New Roman" w:eastAsia="Calibri" w:hAnsi="Times New Roman" w:cs="Times New Roman"/>
          <w:bCs/>
          <w:iCs/>
          <w:sz w:val="24"/>
          <w:szCs w:val="28"/>
          <w:lang w:eastAsia="bg-BG"/>
        </w:rPr>
      </w:pPr>
      <w:r w:rsidRPr="0095562F">
        <w:rPr>
          <w:rFonts w:ascii="Times New Roman" w:eastAsia="Calibri" w:hAnsi="Times New Roman" w:cs="Times New Roman"/>
          <w:bCs/>
          <w:iCs/>
          <w:sz w:val="24"/>
          <w:szCs w:val="28"/>
          <w:lang w:eastAsia="bg-BG"/>
        </w:rPr>
        <w:t xml:space="preserve">Дължината на пътищата </w:t>
      </w:r>
      <w:r w:rsidR="00F46935">
        <w:rPr>
          <w:rFonts w:ascii="Times New Roman" w:eastAsia="Calibri" w:hAnsi="Times New Roman" w:cs="Times New Roman"/>
          <w:bCs/>
          <w:iCs/>
          <w:sz w:val="24"/>
          <w:szCs w:val="28"/>
          <w:lang w:eastAsia="bg-BG"/>
        </w:rPr>
        <w:t xml:space="preserve">- </w:t>
      </w:r>
      <w:r w:rsidRPr="0095562F">
        <w:rPr>
          <w:rFonts w:ascii="Times New Roman" w:eastAsia="Calibri" w:hAnsi="Times New Roman" w:cs="Times New Roman"/>
          <w:bCs/>
          <w:iCs/>
          <w:sz w:val="24"/>
          <w:szCs w:val="28"/>
          <w:lang w:eastAsia="bg-BG"/>
        </w:rPr>
        <w:t>част от републиканската пътна мрежа</w:t>
      </w:r>
      <w:r w:rsidR="00F46935">
        <w:rPr>
          <w:rFonts w:ascii="Times New Roman" w:eastAsia="Calibri" w:hAnsi="Times New Roman" w:cs="Times New Roman"/>
          <w:bCs/>
          <w:iCs/>
          <w:sz w:val="24"/>
          <w:szCs w:val="28"/>
          <w:lang w:eastAsia="bg-BG"/>
        </w:rPr>
        <w:t>,</w:t>
      </w:r>
      <w:r w:rsidRPr="0095562F">
        <w:rPr>
          <w:rFonts w:ascii="Times New Roman" w:eastAsia="Calibri" w:hAnsi="Times New Roman" w:cs="Times New Roman"/>
          <w:bCs/>
          <w:iCs/>
          <w:sz w:val="24"/>
          <w:szCs w:val="28"/>
          <w:lang w:eastAsia="bg-BG"/>
        </w:rPr>
        <w:t xml:space="preserve"> през 2015</w:t>
      </w:r>
      <w:r>
        <w:rPr>
          <w:rFonts w:ascii="Times New Roman" w:eastAsia="Calibri" w:hAnsi="Times New Roman" w:cs="Times New Roman"/>
          <w:bCs/>
          <w:iCs/>
          <w:sz w:val="24"/>
          <w:szCs w:val="28"/>
          <w:lang w:eastAsia="bg-BG"/>
        </w:rPr>
        <w:t xml:space="preserve"> </w:t>
      </w:r>
      <w:r w:rsidR="00F46935">
        <w:rPr>
          <w:rFonts w:ascii="Times New Roman" w:eastAsia="Calibri" w:hAnsi="Times New Roman" w:cs="Times New Roman"/>
          <w:bCs/>
          <w:iCs/>
          <w:sz w:val="24"/>
          <w:szCs w:val="28"/>
          <w:lang w:eastAsia="bg-BG"/>
        </w:rPr>
        <w:t>г. е 19 853 км</w:t>
      </w:r>
      <w:r>
        <w:rPr>
          <w:rFonts w:ascii="Times New Roman" w:eastAsia="Calibri" w:hAnsi="Times New Roman" w:cs="Times New Roman"/>
          <w:bCs/>
          <w:iCs/>
          <w:sz w:val="24"/>
          <w:szCs w:val="28"/>
          <w:lang w:eastAsia="bg-BG"/>
        </w:rPr>
        <w:t>,</w:t>
      </w:r>
      <w:r w:rsidRPr="0095562F">
        <w:rPr>
          <w:rFonts w:ascii="Times New Roman" w:eastAsia="Calibri" w:hAnsi="Times New Roman" w:cs="Times New Roman"/>
          <w:bCs/>
          <w:iCs/>
          <w:sz w:val="24"/>
          <w:szCs w:val="28"/>
          <w:lang w:eastAsia="bg-BG"/>
        </w:rPr>
        <w:t xml:space="preserve"> като това е с 565 км повече от дължината ѝ през 2005 г. </w:t>
      </w:r>
      <w:r w:rsidR="00DF0E52" w:rsidRPr="00DF0E52">
        <w:rPr>
          <w:rFonts w:ascii="Times New Roman" w:eastAsia="Calibri" w:hAnsi="Times New Roman" w:cs="Times New Roman"/>
          <w:bCs/>
          <w:iCs/>
          <w:sz w:val="24"/>
          <w:szCs w:val="28"/>
          <w:lang w:eastAsia="bg-BG"/>
        </w:rPr>
        <w:t>Най-голям напредък на територията на страната се наблюдава по отношение на изграждането на автомагистрали. Дължината на автомагистралите към 2015</w:t>
      </w:r>
      <w:r>
        <w:rPr>
          <w:rFonts w:ascii="Times New Roman" w:eastAsia="Calibri" w:hAnsi="Times New Roman" w:cs="Times New Roman"/>
          <w:bCs/>
          <w:iCs/>
          <w:sz w:val="24"/>
          <w:szCs w:val="28"/>
          <w:lang w:eastAsia="bg-BG"/>
        </w:rPr>
        <w:t xml:space="preserve"> </w:t>
      </w:r>
      <w:r w:rsidR="00DF0E52" w:rsidRPr="00DF0E52">
        <w:rPr>
          <w:rFonts w:ascii="Times New Roman" w:eastAsia="Calibri" w:hAnsi="Times New Roman" w:cs="Times New Roman"/>
          <w:bCs/>
          <w:iCs/>
          <w:sz w:val="24"/>
          <w:szCs w:val="28"/>
          <w:lang w:eastAsia="bg-BG"/>
        </w:rPr>
        <w:t xml:space="preserve">г. възлиза на 734 км, което е </w:t>
      </w:r>
      <w:r>
        <w:rPr>
          <w:rFonts w:ascii="Times New Roman" w:eastAsia="Calibri" w:hAnsi="Times New Roman" w:cs="Times New Roman"/>
          <w:bCs/>
          <w:iCs/>
          <w:sz w:val="24"/>
          <w:szCs w:val="28"/>
          <w:lang w:eastAsia="bg-BG"/>
        </w:rPr>
        <w:t xml:space="preserve">увеличение </w:t>
      </w:r>
      <w:r w:rsidR="00DF0E52" w:rsidRPr="00DF0E52">
        <w:rPr>
          <w:rFonts w:ascii="Times New Roman" w:eastAsia="Calibri" w:hAnsi="Times New Roman" w:cs="Times New Roman"/>
          <w:bCs/>
          <w:iCs/>
          <w:sz w:val="24"/>
          <w:szCs w:val="28"/>
          <w:lang w:eastAsia="bg-BG"/>
        </w:rPr>
        <w:t>повече от два пъти  сравнено с 2005</w:t>
      </w:r>
      <w:r>
        <w:rPr>
          <w:rFonts w:ascii="Times New Roman" w:eastAsia="Calibri" w:hAnsi="Times New Roman" w:cs="Times New Roman"/>
          <w:bCs/>
          <w:iCs/>
          <w:sz w:val="24"/>
          <w:szCs w:val="28"/>
          <w:lang w:eastAsia="bg-BG"/>
        </w:rPr>
        <w:t xml:space="preserve"> </w:t>
      </w:r>
      <w:r w:rsidR="00DF0E52" w:rsidRPr="00DF0E52">
        <w:rPr>
          <w:rFonts w:ascii="Times New Roman" w:eastAsia="Calibri" w:hAnsi="Times New Roman" w:cs="Times New Roman"/>
          <w:bCs/>
          <w:iCs/>
          <w:sz w:val="24"/>
          <w:szCs w:val="28"/>
          <w:lang w:eastAsia="bg-BG"/>
        </w:rPr>
        <w:t>г. – 331км.</w:t>
      </w:r>
      <w:r w:rsidR="00AC5266" w:rsidRPr="00AC5266">
        <w:rPr>
          <w:rFonts w:ascii="Times New Roman" w:eastAsia="Calibri" w:hAnsi="Times New Roman" w:cs="Times New Roman"/>
          <w:sz w:val="24"/>
          <w:szCs w:val="24"/>
        </w:rPr>
        <w:t xml:space="preserve"> </w:t>
      </w:r>
      <w:r w:rsidR="000A27A6" w:rsidRPr="000A27A6">
        <w:rPr>
          <w:rFonts w:ascii="Times New Roman" w:eastAsia="Calibri" w:hAnsi="Times New Roman" w:cs="Times New Roman"/>
          <w:sz w:val="24"/>
          <w:szCs w:val="24"/>
        </w:rPr>
        <w:t>Транспортната обезпеченост на районите от ниво 2 с автомагистрали значително се различава.</w:t>
      </w:r>
      <w:r w:rsidR="000A27A6" w:rsidRPr="000A27A6">
        <w:rPr>
          <w:rFonts w:ascii="Times New Roman" w:eastAsia="Calibri" w:hAnsi="Times New Roman" w:cs="Times New Roman"/>
          <w:sz w:val="24"/>
          <w:szCs w:val="24"/>
          <w:lang w:val="en-US"/>
        </w:rPr>
        <w:t xml:space="preserve"> </w:t>
      </w:r>
      <w:r w:rsidR="000A27A6" w:rsidRPr="000A27A6">
        <w:rPr>
          <w:rFonts w:ascii="Times New Roman" w:eastAsia="Calibri" w:hAnsi="Times New Roman" w:cs="Times New Roman"/>
          <w:sz w:val="24"/>
          <w:szCs w:val="24"/>
        </w:rPr>
        <w:t xml:space="preserve">В най-неблагоприятно състояние е Северния централен район, в който на практика липсва построена автомагистрала. През неговата територия </w:t>
      </w:r>
      <w:r w:rsidR="000A27A6">
        <w:rPr>
          <w:rFonts w:ascii="Times New Roman" w:eastAsia="Calibri" w:hAnsi="Times New Roman" w:cs="Times New Roman"/>
          <w:sz w:val="24"/>
          <w:szCs w:val="24"/>
        </w:rPr>
        <w:t>се планира</w:t>
      </w:r>
      <w:r w:rsidR="000A27A6" w:rsidRPr="000A27A6">
        <w:rPr>
          <w:rFonts w:ascii="Times New Roman" w:eastAsia="Calibri" w:hAnsi="Times New Roman" w:cs="Times New Roman"/>
          <w:sz w:val="24"/>
          <w:szCs w:val="24"/>
        </w:rPr>
        <w:t xml:space="preserve"> да преминава магистрала Хемус с направление изток-запад и да свърже столичния град с Варна, през Велико Търново.</w:t>
      </w:r>
      <w:r w:rsidR="006A47AD">
        <w:rPr>
          <w:rFonts w:ascii="Times New Roman" w:eastAsia="Calibri" w:hAnsi="Times New Roman" w:cs="Times New Roman"/>
          <w:sz w:val="24"/>
          <w:szCs w:val="24"/>
        </w:rPr>
        <w:t xml:space="preserve"> </w:t>
      </w:r>
      <w:r w:rsidR="00AC5266" w:rsidRPr="00AC5266">
        <w:rPr>
          <w:rFonts w:ascii="Times New Roman" w:eastAsia="Calibri" w:hAnsi="Times New Roman" w:cs="Times New Roman"/>
          <w:bCs/>
          <w:iCs/>
          <w:sz w:val="24"/>
          <w:szCs w:val="28"/>
          <w:lang w:eastAsia="bg-BG"/>
        </w:rPr>
        <w:t xml:space="preserve">Изградената транспортна инфраструктура се очаква да бъде поддържана с наличните финансови ресурси през програмния период 2014-2020 г. и приоритетно </w:t>
      </w:r>
      <w:r w:rsidR="00AC5266">
        <w:rPr>
          <w:rFonts w:ascii="Times New Roman" w:eastAsia="Calibri" w:hAnsi="Times New Roman" w:cs="Times New Roman"/>
          <w:bCs/>
          <w:iCs/>
          <w:sz w:val="24"/>
          <w:szCs w:val="28"/>
          <w:lang w:eastAsia="bg-BG"/>
        </w:rPr>
        <w:t>следва да</w:t>
      </w:r>
      <w:r w:rsidR="00AC5266" w:rsidRPr="00AC5266">
        <w:rPr>
          <w:rFonts w:ascii="Times New Roman" w:eastAsia="Calibri" w:hAnsi="Times New Roman" w:cs="Times New Roman"/>
          <w:bCs/>
          <w:iCs/>
          <w:sz w:val="24"/>
          <w:szCs w:val="28"/>
          <w:lang w:eastAsia="bg-BG"/>
        </w:rPr>
        <w:t xml:space="preserve"> се поддържа инфраструктура</w:t>
      </w:r>
      <w:r w:rsidR="005B5D50">
        <w:rPr>
          <w:rFonts w:ascii="Times New Roman" w:eastAsia="Calibri" w:hAnsi="Times New Roman" w:cs="Times New Roman"/>
          <w:bCs/>
          <w:iCs/>
          <w:sz w:val="24"/>
          <w:szCs w:val="28"/>
          <w:lang w:eastAsia="bg-BG"/>
        </w:rPr>
        <w:t>та</w:t>
      </w:r>
      <w:r w:rsidR="00AC5266" w:rsidRPr="00AC5266">
        <w:rPr>
          <w:rFonts w:ascii="Times New Roman" w:eastAsia="Calibri" w:hAnsi="Times New Roman" w:cs="Times New Roman"/>
          <w:bCs/>
          <w:iCs/>
          <w:sz w:val="24"/>
          <w:szCs w:val="28"/>
          <w:lang w:eastAsia="bg-BG"/>
        </w:rPr>
        <w:t xml:space="preserve"> с голяма натовареност и тази от национално значение.</w:t>
      </w:r>
    </w:p>
    <w:p w:rsidR="006A47AD" w:rsidRPr="00DF0E52" w:rsidRDefault="006A47AD" w:rsidP="002941E4">
      <w:pPr>
        <w:spacing w:after="0" w:line="360" w:lineRule="auto"/>
        <w:ind w:firstLine="720"/>
        <w:jc w:val="both"/>
        <w:rPr>
          <w:rFonts w:ascii="Times New Roman" w:eastAsia="Calibri" w:hAnsi="Times New Roman" w:cs="Times New Roman"/>
          <w:bCs/>
          <w:iCs/>
          <w:sz w:val="24"/>
          <w:szCs w:val="28"/>
          <w:lang w:eastAsia="bg-BG"/>
        </w:rPr>
      </w:pPr>
      <w:r>
        <w:rPr>
          <w:rFonts w:ascii="Times New Roman" w:eastAsia="Calibri" w:hAnsi="Times New Roman" w:cs="Times New Roman"/>
          <w:bCs/>
          <w:iCs/>
          <w:sz w:val="24"/>
          <w:szCs w:val="28"/>
          <w:lang w:eastAsia="bg-BG"/>
        </w:rPr>
        <w:t>Ключов фактор за развитието на регионите е общините и изграждането на съвременна комуникационна инфраструктура, както и п</w:t>
      </w:r>
      <w:r w:rsidRPr="006A47AD">
        <w:rPr>
          <w:rFonts w:ascii="Times New Roman" w:eastAsia="Calibri" w:hAnsi="Times New Roman" w:cs="Times New Roman"/>
          <w:bCs/>
          <w:iCs/>
          <w:sz w:val="24"/>
          <w:szCs w:val="28"/>
          <w:lang w:eastAsia="bg-BG"/>
        </w:rPr>
        <w:t>одобряване</w:t>
      </w:r>
      <w:r>
        <w:rPr>
          <w:rFonts w:ascii="Times New Roman" w:eastAsia="Calibri" w:hAnsi="Times New Roman" w:cs="Times New Roman"/>
          <w:bCs/>
          <w:iCs/>
          <w:sz w:val="24"/>
          <w:szCs w:val="28"/>
          <w:lang w:eastAsia="bg-BG"/>
        </w:rPr>
        <w:t>то</w:t>
      </w:r>
      <w:r w:rsidRPr="006A47AD">
        <w:rPr>
          <w:rFonts w:ascii="Times New Roman" w:eastAsia="Calibri" w:hAnsi="Times New Roman" w:cs="Times New Roman"/>
          <w:bCs/>
          <w:iCs/>
          <w:sz w:val="24"/>
          <w:szCs w:val="28"/>
          <w:lang w:eastAsia="bg-BG"/>
        </w:rPr>
        <w:t xml:space="preserve"> на достъпа и развитието на информационните и комуникационните технологии в областта на публичните услуги и услугите </w:t>
      </w:r>
      <w:r w:rsidRPr="00F73B67">
        <w:rPr>
          <w:rFonts w:ascii="Times New Roman" w:eastAsia="Calibri" w:hAnsi="Times New Roman" w:cs="Times New Roman"/>
          <w:bCs/>
          <w:iCs/>
          <w:sz w:val="24"/>
          <w:szCs w:val="24"/>
          <w:lang w:eastAsia="bg-BG"/>
        </w:rPr>
        <w:t>за МСП.</w:t>
      </w:r>
      <w:r w:rsidR="00A05294" w:rsidRPr="00F73B67">
        <w:rPr>
          <w:rFonts w:ascii="Times New Roman" w:hAnsi="Times New Roman" w:cs="Times New Roman"/>
          <w:sz w:val="24"/>
          <w:szCs w:val="24"/>
        </w:rPr>
        <w:t xml:space="preserve"> </w:t>
      </w:r>
      <w:r w:rsidR="00F73B67" w:rsidRPr="00F73B67">
        <w:rPr>
          <w:rFonts w:ascii="Times New Roman" w:hAnsi="Times New Roman" w:cs="Times New Roman"/>
          <w:sz w:val="24"/>
          <w:szCs w:val="24"/>
        </w:rPr>
        <w:t xml:space="preserve">Броят на </w:t>
      </w:r>
      <w:r w:rsidR="00A05294" w:rsidRPr="00F73B67">
        <w:rPr>
          <w:rFonts w:ascii="Times New Roman" w:eastAsia="Calibri" w:hAnsi="Times New Roman" w:cs="Times New Roman"/>
          <w:bCs/>
          <w:iCs/>
          <w:sz w:val="24"/>
          <w:szCs w:val="24"/>
          <w:lang w:eastAsia="bg-BG"/>
        </w:rPr>
        <w:t>домакинствата</w:t>
      </w:r>
      <w:r w:rsidR="00A05294" w:rsidRPr="00A05294">
        <w:rPr>
          <w:rFonts w:ascii="Times New Roman" w:eastAsia="Calibri" w:hAnsi="Times New Roman" w:cs="Times New Roman"/>
          <w:bCs/>
          <w:iCs/>
          <w:sz w:val="24"/>
          <w:szCs w:val="28"/>
          <w:lang w:eastAsia="bg-BG"/>
        </w:rPr>
        <w:t xml:space="preserve"> с </w:t>
      </w:r>
      <w:r w:rsidR="00F73B67">
        <w:rPr>
          <w:rFonts w:ascii="Times New Roman" w:eastAsia="Calibri" w:hAnsi="Times New Roman" w:cs="Times New Roman"/>
          <w:bCs/>
          <w:iCs/>
          <w:sz w:val="24"/>
          <w:szCs w:val="28"/>
          <w:lang w:eastAsia="bg-BG"/>
        </w:rPr>
        <w:t>широколентов достъп до интернет</w:t>
      </w:r>
      <w:r w:rsidR="00A05294" w:rsidRPr="00A05294">
        <w:rPr>
          <w:rFonts w:ascii="Times New Roman" w:eastAsia="Calibri" w:hAnsi="Times New Roman" w:cs="Times New Roman"/>
          <w:bCs/>
          <w:iCs/>
          <w:sz w:val="24"/>
          <w:szCs w:val="28"/>
          <w:lang w:eastAsia="bg-BG"/>
        </w:rPr>
        <w:t xml:space="preserve"> </w:t>
      </w:r>
      <w:r w:rsidR="00F73B67">
        <w:rPr>
          <w:rFonts w:ascii="Times New Roman" w:eastAsia="Calibri" w:hAnsi="Times New Roman" w:cs="Times New Roman"/>
          <w:bCs/>
          <w:iCs/>
          <w:sz w:val="24"/>
          <w:szCs w:val="28"/>
          <w:lang w:eastAsia="bg-BG"/>
        </w:rPr>
        <w:t>показва постоянна</w:t>
      </w:r>
      <w:r w:rsidR="00A05294" w:rsidRPr="00A05294">
        <w:rPr>
          <w:rFonts w:ascii="Times New Roman" w:eastAsia="Calibri" w:hAnsi="Times New Roman" w:cs="Times New Roman"/>
          <w:bCs/>
          <w:iCs/>
          <w:sz w:val="24"/>
          <w:szCs w:val="28"/>
          <w:lang w:eastAsia="bg-BG"/>
        </w:rPr>
        <w:t xml:space="preserve"> тенденция за нарастване </w:t>
      </w:r>
      <w:r w:rsidR="00F73B67">
        <w:rPr>
          <w:rFonts w:ascii="Times New Roman" w:eastAsia="Calibri" w:hAnsi="Times New Roman" w:cs="Times New Roman"/>
          <w:bCs/>
          <w:iCs/>
          <w:sz w:val="24"/>
          <w:szCs w:val="28"/>
          <w:lang w:eastAsia="bg-BG"/>
        </w:rPr>
        <w:t>по данни</w:t>
      </w:r>
      <w:r w:rsidR="00A05294" w:rsidRPr="00A05294">
        <w:rPr>
          <w:rFonts w:ascii="Times New Roman" w:eastAsia="Calibri" w:hAnsi="Times New Roman" w:cs="Times New Roman"/>
          <w:bCs/>
          <w:iCs/>
          <w:sz w:val="24"/>
          <w:szCs w:val="28"/>
          <w:lang w:eastAsia="bg-BG"/>
        </w:rPr>
        <w:t xml:space="preserve"> </w:t>
      </w:r>
      <w:r w:rsidR="00F73B67">
        <w:rPr>
          <w:rFonts w:ascii="Times New Roman" w:eastAsia="Calibri" w:hAnsi="Times New Roman" w:cs="Times New Roman"/>
          <w:bCs/>
          <w:iCs/>
          <w:sz w:val="24"/>
          <w:szCs w:val="28"/>
          <w:lang w:eastAsia="bg-BG"/>
        </w:rPr>
        <w:t>след</w:t>
      </w:r>
      <w:r w:rsidR="00A05294" w:rsidRPr="00A05294">
        <w:rPr>
          <w:rFonts w:ascii="Times New Roman" w:eastAsia="Calibri" w:hAnsi="Times New Roman" w:cs="Times New Roman"/>
          <w:bCs/>
          <w:iCs/>
          <w:sz w:val="24"/>
          <w:szCs w:val="28"/>
          <w:lang w:eastAsia="bg-BG"/>
        </w:rPr>
        <w:t xml:space="preserve"> 2010 г, като през 2015 г. повече от половината домакинства в страната разполагат с такъв (58,8%). Забелязва се</w:t>
      </w:r>
      <w:r w:rsidR="00F73B67">
        <w:rPr>
          <w:rFonts w:ascii="Times New Roman" w:eastAsia="Calibri" w:hAnsi="Times New Roman" w:cs="Times New Roman"/>
          <w:bCs/>
          <w:iCs/>
          <w:sz w:val="24"/>
          <w:szCs w:val="28"/>
          <w:lang w:eastAsia="bg-BG"/>
        </w:rPr>
        <w:t xml:space="preserve"> и дисбаланс</w:t>
      </w:r>
      <w:r w:rsidR="00A05294" w:rsidRPr="00A05294">
        <w:rPr>
          <w:rFonts w:ascii="Times New Roman" w:eastAsia="Calibri" w:hAnsi="Times New Roman" w:cs="Times New Roman"/>
          <w:bCs/>
          <w:iCs/>
          <w:sz w:val="24"/>
          <w:szCs w:val="28"/>
          <w:lang w:eastAsia="bg-BG"/>
        </w:rPr>
        <w:t xml:space="preserve">, че в гъсто населените места – големите градове в страната, относителният дял на домакинствата с достъп до широколентов интернет е значително по-висок от този в слабо населените места – с </w:t>
      </w:r>
      <w:r w:rsidR="00F73B67">
        <w:rPr>
          <w:rFonts w:ascii="Times New Roman" w:eastAsia="Calibri" w:hAnsi="Times New Roman" w:cs="Times New Roman"/>
          <w:bCs/>
          <w:iCs/>
          <w:sz w:val="24"/>
          <w:szCs w:val="28"/>
          <w:lang w:eastAsia="bg-BG"/>
        </w:rPr>
        <w:t xml:space="preserve">близо </w:t>
      </w:r>
      <w:r w:rsidR="00A05294" w:rsidRPr="00A05294">
        <w:rPr>
          <w:rFonts w:ascii="Times New Roman" w:eastAsia="Calibri" w:hAnsi="Times New Roman" w:cs="Times New Roman"/>
          <w:bCs/>
          <w:iCs/>
          <w:sz w:val="24"/>
          <w:szCs w:val="28"/>
          <w:lang w:eastAsia="bg-BG"/>
        </w:rPr>
        <w:t>2</w:t>
      </w:r>
      <w:r w:rsidR="00F73B67">
        <w:rPr>
          <w:rFonts w:ascii="Times New Roman" w:eastAsia="Calibri" w:hAnsi="Times New Roman" w:cs="Times New Roman"/>
          <w:bCs/>
          <w:iCs/>
          <w:sz w:val="24"/>
          <w:szCs w:val="28"/>
          <w:lang w:eastAsia="bg-BG"/>
        </w:rPr>
        <w:t>5</w:t>
      </w:r>
      <w:r w:rsidR="00A05294" w:rsidRPr="00A05294">
        <w:rPr>
          <w:rFonts w:ascii="Times New Roman" w:eastAsia="Calibri" w:hAnsi="Times New Roman" w:cs="Times New Roman"/>
          <w:bCs/>
          <w:iCs/>
          <w:sz w:val="24"/>
          <w:szCs w:val="28"/>
          <w:lang w:eastAsia="bg-BG"/>
        </w:rPr>
        <w:t>%.</w:t>
      </w:r>
    </w:p>
    <w:p w:rsidR="00DF0E52" w:rsidRPr="00DF0E52" w:rsidRDefault="00DD478F" w:rsidP="002941E4">
      <w:pPr>
        <w:spacing w:after="0" w:line="360" w:lineRule="auto"/>
        <w:ind w:firstLine="720"/>
        <w:jc w:val="both"/>
        <w:rPr>
          <w:rFonts w:ascii="Times New Roman" w:eastAsia="Calibri" w:hAnsi="Times New Roman" w:cs="Times New Roman"/>
          <w:sz w:val="24"/>
          <w:szCs w:val="28"/>
          <w:lang w:eastAsia="bg-BG"/>
        </w:rPr>
      </w:pPr>
      <w:r>
        <w:rPr>
          <w:rFonts w:ascii="Times New Roman" w:eastAsia="Calibri" w:hAnsi="Times New Roman" w:cs="Times New Roman"/>
          <w:sz w:val="24"/>
          <w:szCs w:val="28"/>
          <w:lang w:eastAsia="bg-BG"/>
        </w:rPr>
        <w:t>През периода на действие на НСРР сериозни усилия и инвестиции са насочени за и</w:t>
      </w:r>
      <w:r w:rsidRPr="00DD478F">
        <w:rPr>
          <w:rFonts w:ascii="Times New Roman" w:eastAsia="Calibri" w:hAnsi="Times New Roman" w:cs="Times New Roman"/>
          <w:sz w:val="24"/>
          <w:szCs w:val="28"/>
          <w:lang w:eastAsia="bg-BG"/>
        </w:rPr>
        <w:t>нтегрирано развитие на градовете и укрепване на взаимовръзката град-регион</w:t>
      </w:r>
      <w:r>
        <w:rPr>
          <w:rFonts w:ascii="Times New Roman" w:eastAsia="Calibri" w:hAnsi="Times New Roman" w:cs="Times New Roman"/>
          <w:sz w:val="24"/>
          <w:szCs w:val="28"/>
          <w:lang w:eastAsia="bg-BG"/>
        </w:rPr>
        <w:t>.</w:t>
      </w:r>
      <w:r w:rsidRPr="00DD478F">
        <w:rPr>
          <w:rFonts w:ascii="Times New Roman" w:eastAsia="Calibri" w:hAnsi="Times New Roman" w:cs="Times New Roman"/>
          <w:sz w:val="24"/>
          <w:szCs w:val="28"/>
          <w:lang w:eastAsia="bg-BG"/>
        </w:rPr>
        <w:t xml:space="preserve"> </w:t>
      </w:r>
      <w:r w:rsidR="00DF0E52" w:rsidRPr="00DF0E52">
        <w:rPr>
          <w:rFonts w:ascii="Times New Roman" w:eastAsia="Calibri" w:hAnsi="Times New Roman" w:cs="Times New Roman"/>
          <w:sz w:val="24"/>
          <w:szCs w:val="28"/>
          <w:lang w:eastAsia="bg-BG"/>
        </w:rPr>
        <w:t xml:space="preserve">За </w:t>
      </w:r>
      <w:r>
        <w:rPr>
          <w:rFonts w:ascii="Times New Roman" w:eastAsia="Calibri" w:hAnsi="Times New Roman" w:cs="Times New Roman"/>
          <w:sz w:val="24"/>
          <w:szCs w:val="28"/>
          <w:lang w:eastAsia="bg-BG"/>
        </w:rPr>
        <w:t xml:space="preserve">постигане на </w:t>
      </w:r>
      <w:r w:rsidR="00DF0E52" w:rsidRPr="00DF0E52">
        <w:rPr>
          <w:rFonts w:ascii="Times New Roman" w:eastAsia="Calibri" w:hAnsi="Times New Roman" w:cs="Times New Roman"/>
          <w:sz w:val="24"/>
          <w:szCs w:val="28"/>
          <w:lang w:eastAsia="bg-BG"/>
        </w:rPr>
        <w:t xml:space="preserve">балансирано териториално развитие основно </w:t>
      </w:r>
      <w:r>
        <w:rPr>
          <w:rFonts w:ascii="Times New Roman" w:eastAsia="Calibri" w:hAnsi="Times New Roman" w:cs="Times New Roman"/>
          <w:sz w:val="24"/>
          <w:szCs w:val="28"/>
          <w:lang w:eastAsia="bg-BG"/>
        </w:rPr>
        <w:t>допринасят</w:t>
      </w:r>
      <w:r w:rsidR="00DF0E52" w:rsidRPr="00DF0E52">
        <w:rPr>
          <w:rFonts w:ascii="Times New Roman" w:eastAsia="Calibri" w:hAnsi="Times New Roman" w:cs="Times New Roman"/>
          <w:sz w:val="24"/>
          <w:szCs w:val="28"/>
          <w:lang w:eastAsia="bg-BG"/>
        </w:rPr>
        <w:t xml:space="preserve">  Интегрираните планове за градско възстановяване и развитие, които спом</w:t>
      </w:r>
      <w:r>
        <w:rPr>
          <w:rFonts w:ascii="Times New Roman" w:eastAsia="Calibri" w:hAnsi="Times New Roman" w:cs="Times New Roman"/>
          <w:sz w:val="24"/>
          <w:szCs w:val="28"/>
          <w:lang w:eastAsia="bg-BG"/>
        </w:rPr>
        <w:t>агат</w:t>
      </w:r>
      <w:r w:rsidR="00DF0E52" w:rsidRPr="00DF0E52">
        <w:rPr>
          <w:rFonts w:ascii="Times New Roman" w:eastAsia="Calibri" w:hAnsi="Times New Roman" w:cs="Times New Roman"/>
          <w:sz w:val="24"/>
          <w:szCs w:val="28"/>
          <w:lang w:eastAsia="bg-BG"/>
        </w:rPr>
        <w:t xml:space="preserve"> за  подобряването на </w:t>
      </w:r>
      <w:r>
        <w:rPr>
          <w:rFonts w:ascii="Times New Roman" w:eastAsia="Calibri" w:hAnsi="Times New Roman" w:cs="Times New Roman"/>
          <w:sz w:val="24"/>
          <w:szCs w:val="28"/>
          <w:lang w:eastAsia="bg-BG"/>
        </w:rPr>
        <w:t xml:space="preserve">градската среда, </w:t>
      </w:r>
      <w:r w:rsidRPr="00DD478F">
        <w:rPr>
          <w:rFonts w:ascii="Times New Roman" w:eastAsia="Calibri" w:hAnsi="Times New Roman" w:cs="Times New Roman"/>
          <w:sz w:val="24"/>
          <w:szCs w:val="28"/>
          <w:lang w:eastAsia="bg-BG"/>
        </w:rPr>
        <w:t>възстановяване</w:t>
      </w:r>
      <w:r>
        <w:rPr>
          <w:rFonts w:ascii="Times New Roman" w:eastAsia="Calibri" w:hAnsi="Times New Roman" w:cs="Times New Roman"/>
          <w:sz w:val="24"/>
          <w:szCs w:val="28"/>
          <w:lang w:eastAsia="bg-BG"/>
        </w:rPr>
        <w:t>то</w:t>
      </w:r>
      <w:r w:rsidRPr="00DD478F">
        <w:rPr>
          <w:rFonts w:ascii="Times New Roman" w:eastAsia="Calibri" w:hAnsi="Times New Roman" w:cs="Times New Roman"/>
          <w:sz w:val="24"/>
          <w:szCs w:val="28"/>
          <w:lang w:eastAsia="bg-BG"/>
        </w:rPr>
        <w:t xml:space="preserve"> и обновяване</w:t>
      </w:r>
      <w:r>
        <w:rPr>
          <w:rFonts w:ascii="Times New Roman" w:eastAsia="Calibri" w:hAnsi="Times New Roman" w:cs="Times New Roman"/>
          <w:sz w:val="24"/>
          <w:szCs w:val="28"/>
          <w:lang w:eastAsia="bg-BG"/>
        </w:rPr>
        <w:t>то</w:t>
      </w:r>
      <w:r w:rsidRPr="00DD478F">
        <w:rPr>
          <w:rFonts w:ascii="Times New Roman" w:eastAsia="Calibri" w:hAnsi="Times New Roman" w:cs="Times New Roman"/>
          <w:sz w:val="24"/>
          <w:szCs w:val="28"/>
          <w:lang w:eastAsia="bg-BG"/>
        </w:rPr>
        <w:t xml:space="preserve"> на градски райони, насърчаване</w:t>
      </w:r>
      <w:r>
        <w:rPr>
          <w:rFonts w:ascii="Times New Roman" w:eastAsia="Calibri" w:hAnsi="Times New Roman" w:cs="Times New Roman"/>
          <w:sz w:val="24"/>
          <w:szCs w:val="28"/>
          <w:lang w:eastAsia="bg-BG"/>
        </w:rPr>
        <w:t>то</w:t>
      </w:r>
      <w:r w:rsidRPr="00DD478F">
        <w:rPr>
          <w:rFonts w:ascii="Times New Roman" w:eastAsia="Calibri" w:hAnsi="Times New Roman" w:cs="Times New Roman"/>
          <w:sz w:val="24"/>
          <w:szCs w:val="28"/>
          <w:lang w:eastAsia="bg-BG"/>
        </w:rPr>
        <w:t xml:space="preserve"> на екологично чист транспорт </w:t>
      </w:r>
      <w:r w:rsidR="003A3C47">
        <w:rPr>
          <w:rFonts w:ascii="Times New Roman" w:eastAsia="Calibri" w:hAnsi="Times New Roman" w:cs="Times New Roman"/>
          <w:sz w:val="24"/>
          <w:szCs w:val="28"/>
          <w:lang w:eastAsia="bg-BG"/>
        </w:rPr>
        <w:t>и енергийна</w:t>
      </w:r>
      <w:r>
        <w:rPr>
          <w:rFonts w:ascii="Times New Roman" w:eastAsia="Calibri" w:hAnsi="Times New Roman" w:cs="Times New Roman"/>
          <w:sz w:val="24"/>
          <w:szCs w:val="28"/>
          <w:lang w:eastAsia="bg-BG"/>
        </w:rPr>
        <w:t xml:space="preserve"> ефективност в 67</w:t>
      </w:r>
      <w:r w:rsidR="00DF0E52" w:rsidRPr="00DF0E52">
        <w:rPr>
          <w:rFonts w:ascii="Times New Roman" w:eastAsia="Calibri" w:hAnsi="Times New Roman" w:cs="Times New Roman"/>
          <w:sz w:val="24"/>
          <w:szCs w:val="28"/>
          <w:lang w:eastAsia="bg-BG"/>
        </w:rPr>
        <w:t xml:space="preserve"> избрани градове</w:t>
      </w:r>
      <w:r>
        <w:rPr>
          <w:rFonts w:ascii="Times New Roman" w:eastAsia="Calibri" w:hAnsi="Times New Roman" w:cs="Times New Roman"/>
          <w:sz w:val="24"/>
          <w:szCs w:val="28"/>
          <w:lang w:eastAsia="bg-BG"/>
        </w:rPr>
        <w:t xml:space="preserve"> в </w:t>
      </w:r>
      <w:r w:rsidRPr="00DF0E52">
        <w:rPr>
          <w:rFonts w:ascii="Times New Roman" w:eastAsia="Calibri" w:hAnsi="Times New Roman" w:cs="Times New Roman"/>
          <w:sz w:val="24"/>
          <w:szCs w:val="28"/>
          <w:lang w:eastAsia="bg-BG"/>
        </w:rPr>
        <w:t>агломерационните ареали</w:t>
      </w:r>
      <w:r>
        <w:rPr>
          <w:rFonts w:ascii="Times New Roman" w:eastAsia="Calibri" w:hAnsi="Times New Roman" w:cs="Times New Roman"/>
          <w:sz w:val="24"/>
          <w:szCs w:val="28"/>
          <w:lang w:eastAsia="bg-BG"/>
        </w:rPr>
        <w:t xml:space="preserve"> и в по-малки градове.</w:t>
      </w:r>
    </w:p>
    <w:p w:rsidR="00DF0E52" w:rsidRPr="00DF0E52" w:rsidRDefault="00DF0E52" w:rsidP="002941E4">
      <w:pPr>
        <w:spacing w:after="0" w:line="360" w:lineRule="auto"/>
        <w:ind w:firstLine="720"/>
        <w:jc w:val="both"/>
        <w:rPr>
          <w:rFonts w:ascii="Times New Roman" w:eastAsia="Calibri" w:hAnsi="Times New Roman" w:cs="Times New Roman"/>
          <w:sz w:val="24"/>
          <w:szCs w:val="28"/>
          <w:lang w:eastAsia="bg-BG"/>
        </w:rPr>
      </w:pPr>
      <w:r w:rsidRPr="00DF0E52">
        <w:rPr>
          <w:rFonts w:ascii="Times New Roman" w:eastAsia="Calibri" w:hAnsi="Times New Roman" w:cs="Times New Roman"/>
          <w:sz w:val="24"/>
          <w:szCs w:val="28"/>
          <w:lang w:eastAsia="bg-BG"/>
        </w:rPr>
        <w:lastRenderedPageBreak/>
        <w:t>От друга страна, полицентричното развитие</w:t>
      </w:r>
      <w:r w:rsidR="00DD478F">
        <w:rPr>
          <w:rFonts w:ascii="Times New Roman" w:eastAsia="Calibri" w:hAnsi="Times New Roman" w:cs="Times New Roman"/>
          <w:sz w:val="24"/>
          <w:szCs w:val="28"/>
          <w:lang w:eastAsia="bg-BG"/>
        </w:rPr>
        <w:t>, залегнало в Националната концепция за пространствено развитие 2013-2025</w:t>
      </w:r>
      <w:r w:rsidR="00F46935">
        <w:rPr>
          <w:rFonts w:ascii="Times New Roman" w:eastAsia="Calibri" w:hAnsi="Times New Roman" w:cs="Times New Roman"/>
          <w:sz w:val="24"/>
          <w:szCs w:val="28"/>
          <w:lang w:eastAsia="bg-BG"/>
        </w:rPr>
        <w:t>,</w:t>
      </w:r>
      <w:r w:rsidRPr="00DF0E52">
        <w:rPr>
          <w:rFonts w:ascii="Times New Roman" w:eastAsia="Calibri" w:hAnsi="Times New Roman" w:cs="Times New Roman"/>
          <w:sz w:val="24"/>
          <w:szCs w:val="28"/>
          <w:lang w:eastAsia="bg-BG"/>
        </w:rPr>
        <w:t xml:space="preserve"> създава необходимите </w:t>
      </w:r>
      <w:r w:rsidR="00531D5E">
        <w:rPr>
          <w:rFonts w:ascii="Times New Roman" w:eastAsia="Calibri" w:hAnsi="Times New Roman" w:cs="Times New Roman"/>
          <w:sz w:val="24"/>
          <w:szCs w:val="28"/>
          <w:lang w:eastAsia="bg-BG"/>
        </w:rPr>
        <w:t xml:space="preserve">условия и </w:t>
      </w:r>
      <w:r w:rsidRPr="00DF0E52">
        <w:rPr>
          <w:rFonts w:ascii="Times New Roman" w:eastAsia="Calibri" w:hAnsi="Times New Roman" w:cs="Times New Roman"/>
          <w:sz w:val="24"/>
          <w:szCs w:val="28"/>
          <w:lang w:eastAsia="bg-BG"/>
        </w:rPr>
        <w:t xml:space="preserve">очаквания за намаляване на съществуващите регионални </w:t>
      </w:r>
      <w:r w:rsidR="00531D5E">
        <w:rPr>
          <w:rFonts w:ascii="Times New Roman" w:eastAsia="Calibri" w:hAnsi="Times New Roman" w:cs="Times New Roman"/>
          <w:sz w:val="24"/>
          <w:szCs w:val="28"/>
          <w:lang w:eastAsia="bg-BG"/>
        </w:rPr>
        <w:t>диспропорции</w:t>
      </w:r>
      <w:r w:rsidRPr="00DF0E52">
        <w:rPr>
          <w:rFonts w:ascii="Times New Roman" w:eastAsia="Calibri" w:hAnsi="Times New Roman" w:cs="Times New Roman"/>
          <w:sz w:val="24"/>
          <w:szCs w:val="28"/>
          <w:lang w:eastAsia="bg-BG"/>
        </w:rPr>
        <w:t xml:space="preserve"> и осигуряване на равни </w:t>
      </w:r>
      <w:r w:rsidR="00531D5E">
        <w:rPr>
          <w:rFonts w:ascii="Times New Roman" w:eastAsia="Calibri" w:hAnsi="Times New Roman" w:cs="Times New Roman"/>
          <w:sz w:val="24"/>
          <w:szCs w:val="28"/>
          <w:lang w:eastAsia="bg-BG"/>
        </w:rPr>
        <w:t>възможности</w:t>
      </w:r>
      <w:r w:rsidRPr="00DF0E52">
        <w:rPr>
          <w:rFonts w:ascii="Times New Roman" w:eastAsia="Calibri" w:hAnsi="Times New Roman" w:cs="Times New Roman"/>
          <w:sz w:val="24"/>
          <w:szCs w:val="28"/>
          <w:lang w:eastAsia="bg-BG"/>
        </w:rPr>
        <w:t xml:space="preserve"> за </w:t>
      </w:r>
      <w:r w:rsidR="00531D5E">
        <w:rPr>
          <w:rFonts w:ascii="Times New Roman" w:eastAsia="Calibri" w:hAnsi="Times New Roman" w:cs="Times New Roman"/>
          <w:sz w:val="24"/>
          <w:szCs w:val="28"/>
          <w:lang w:eastAsia="bg-BG"/>
        </w:rPr>
        <w:t>балалансирано икономическо,</w:t>
      </w:r>
      <w:r w:rsidRPr="00DF0E52">
        <w:rPr>
          <w:rFonts w:ascii="Times New Roman" w:eastAsia="Calibri" w:hAnsi="Times New Roman" w:cs="Times New Roman"/>
          <w:sz w:val="24"/>
          <w:szCs w:val="28"/>
          <w:lang w:eastAsia="bg-BG"/>
        </w:rPr>
        <w:t xml:space="preserve"> социално</w:t>
      </w:r>
      <w:r w:rsidR="00531D5E">
        <w:rPr>
          <w:rFonts w:ascii="Times New Roman" w:eastAsia="Calibri" w:hAnsi="Times New Roman" w:cs="Times New Roman"/>
          <w:sz w:val="24"/>
          <w:szCs w:val="28"/>
          <w:lang w:eastAsia="bg-BG"/>
        </w:rPr>
        <w:t xml:space="preserve"> и териториално </w:t>
      </w:r>
      <w:r w:rsidRPr="00DF0E52">
        <w:rPr>
          <w:rFonts w:ascii="Times New Roman" w:eastAsia="Calibri" w:hAnsi="Times New Roman" w:cs="Times New Roman"/>
          <w:sz w:val="24"/>
          <w:szCs w:val="28"/>
          <w:lang w:eastAsia="bg-BG"/>
        </w:rPr>
        <w:t xml:space="preserve"> развитие и за по-пълно използване на местния потенциал.</w:t>
      </w:r>
    </w:p>
    <w:p w:rsidR="00DF0E52" w:rsidRPr="00DF0E52" w:rsidRDefault="00DF0E52" w:rsidP="002941E4">
      <w:pPr>
        <w:spacing w:after="0" w:line="360" w:lineRule="auto"/>
        <w:ind w:firstLine="720"/>
        <w:jc w:val="both"/>
        <w:rPr>
          <w:rFonts w:ascii="Times New Roman" w:eastAsia="Calibri" w:hAnsi="Times New Roman" w:cs="Times New Roman"/>
          <w:b/>
          <w:sz w:val="24"/>
          <w:szCs w:val="28"/>
          <w:lang w:eastAsia="bg-BG"/>
        </w:rPr>
      </w:pPr>
    </w:p>
    <w:p w:rsidR="00DF0E52" w:rsidRPr="00DF0E52" w:rsidRDefault="004D0C92" w:rsidP="009A2E7A">
      <w:pPr>
        <w:spacing w:after="0" w:line="360" w:lineRule="auto"/>
        <w:ind w:left="709"/>
        <w:jc w:val="both"/>
        <w:rPr>
          <w:rFonts w:ascii="Times New Roman" w:eastAsia="Calibri" w:hAnsi="Times New Roman" w:cs="Times New Roman"/>
          <w:i/>
          <w:sz w:val="24"/>
          <w:szCs w:val="28"/>
          <w:lang w:eastAsia="bg-BG"/>
        </w:rPr>
      </w:pPr>
      <w:r>
        <w:rPr>
          <w:rFonts w:ascii="Times New Roman" w:eastAsia="Calibri" w:hAnsi="Times New Roman" w:cs="Times New Roman"/>
          <w:i/>
          <w:sz w:val="24"/>
          <w:szCs w:val="28"/>
          <w:lang w:eastAsia="bg-BG"/>
        </w:rPr>
        <w:t>2.4.</w:t>
      </w:r>
      <w:r w:rsidR="004C3CC0">
        <w:rPr>
          <w:rFonts w:ascii="Times New Roman" w:eastAsia="Calibri" w:hAnsi="Times New Roman" w:cs="Times New Roman"/>
          <w:i/>
          <w:sz w:val="24"/>
          <w:szCs w:val="28"/>
          <w:lang w:eastAsia="bg-BG"/>
        </w:rPr>
        <w:t xml:space="preserve"> </w:t>
      </w:r>
      <w:r w:rsidR="00DF0E52" w:rsidRPr="00DF0E52">
        <w:rPr>
          <w:rFonts w:ascii="Times New Roman" w:eastAsia="Calibri" w:hAnsi="Times New Roman" w:cs="Times New Roman"/>
          <w:i/>
          <w:sz w:val="24"/>
          <w:szCs w:val="28"/>
          <w:lang w:eastAsia="bg-BG"/>
        </w:rPr>
        <w:t xml:space="preserve">Политическа ангажираност и административен капацитет на институциите </w:t>
      </w:r>
      <w:r w:rsidR="00566448" w:rsidRPr="00DF0E52">
        <w:rPr>
          <w:rFonts w:ascii="Times New Roman" w:eastAsia="Calibri" w:hAnsi="Times New Roman" w:cs="Times New Roman"/>
          <w:i/>
          <w:sz w:val="24"/>
          <w:szCs w:val="28"/>
          <w:lang w:eastAsia="bg-BG"/>
        </w:rPr>
        <w:t xml:space="preserve">и партньорите </w:t>
      </w:r>
      <w:r w:rsidR="00DF0E52" w:rsidRPr="00DF0E52">
        <w:rPr>
          <w:rFonts w:ascii="Times New Roman" w:eastAsia="Calibri" w:hAnsi="Times New Roman" w:cs="Times New Roman"/>
          <w:i/>
          <w:sz w:val="24"/>
          <w:szCs w:val="28"/>
          <w:lang w:eastAsia="bg-BG"/>
        </w:rPr>
        <w:t>на регионално и местно ниво за провеждане на регионалната политика и управление на процесите на планиране, програмиране, информационно осигуряване контрол и координация</w:t>
      </w:r>
    </w:p>
    <w:p w:rsidR="00DF0E52" w:rsidRPr="00DF0E52" w:rsidRDefault="00566448" w:rsidP="002941E4">
      <w:pPr>
        <w:spacing w:after="0" w:line="360" w:lineRule="auto"/>
        <w:ind w:firstLine="720"/>
        <w:jc w:val="both"/>
        <w:rPr>
          <w:rFonts w:ascii="Times New Roman" w:eastAsia="Calibri" w:hAnsi="Times New Roman" w:cs="Times New Roman"/>
          <w:sz w:val="24"/>
          <w:szCs w:val="28"/>
          <w:lang w:eastAsia="bg-BG"/>
        </w:rPr>
      </w:pPr>
      <w:r>
        <w:rPr>
          <w:rFonts w:ascii="Times New Roman" w:eastAsia="Calibri" w:hAnsi="Times New Roman" w:cs="Times New Roman"/>
          <w:sz w:val="24"/>
          <w:szCs w:val="28"/>
          <w:lang w:eastAsia="bg-BG"/>
        </w:rPr>
        <w:t xml:space="preserve">В рамките </w:t>
      </w:r>
      <w:r w:rsidR="00DF0E52" w:rsidRPr="00DF0E52">
        <w:rPr>
          <w:rFonts w:ascii="Times New Roman" w:eastAsia="Calibri" w:hAnsi="Times New Roman" w:cs="Times New Roman"/>
          <w:sz w:val="24"/>
          <w:szCs w:val="28"/>
          <w:lang w:eastAsia="bg-BG"/>
        </w:rPr>
        <w:t>на НСРР 2005-2015 г. е създадена институционалната организация за нейното изпълнение, съгласно действащ</w:t>
      </w:r>
      <w:r>
        <w:rPr>
          <w:rFonts w:ascii="Times New Roman" w:eastAsia="Calibri" w:hAnsi="Times New Roman" w:cs="Times New Roman"/>
          <w:sz w:val="24"/>
          <w:szCs w:val="28"/>
          <w:lang w:eastAsia="bg-BG"/>
        </w:rPr>
        <w:t>ото законодателство за регионалното развитие</w:t>
      </w:r>
      <w:r w:rsidR="00DF0E52" w:rsidRPr="00DF0E52">
        <w:rPr>
          <w:rFonts w:ascii="Times New Roman" w:eastAsia="Calibri" w:hAnsi="Times New Roman" w:cs="Times New Roman"/>
          <w:sz w:val="24"/>
          <w:szCs w:val="28"/>
          <w:lang w:eastAsia="bg-BG"/>
        </w:rPr>
        <w:t xml:space="preserve">. </w:t>
      </w:r>
      <w:r>
        <w:rPr>
          <w:rFonts w:ascii="Times New Roman" w:eastAsia="Calibri" w:hAnsi="Times New Roman" w:cs="Times New Roman"/>
          <w:sz w:val="24"/>
          <w:szCs w:val="28"/>
          <w:lang w:eastAsia="bg-BG"/>
        </w:rPr>
        <w:t>Ясно са р</w:t>
      </w:r>
      <w:r w:rsidR="00DF0E52" w:rsidRPr="00DF0E52">
        <w:rPr>
          <w:rFonts w:ascii="Times New Roman" w:eastAsia="Calibri" w:hAnsi="Times New Roman" w:cs="Times New Roman"/>
          <w:sz w:val="24"/>
          <w:szCs w:val="28"/>
          <w:lang w:eastAsia="bg-BG"/>
        </w:rPr>
        <w:t xml:space="preserve">азписани ролите и отговорностите на </w:t>
      </w:r>
      <w:r w:rsidR="00207A38">
        <w:rPr>
          <w:rFonts w:ascii="Times New Roman" w:eastAsia="Calibri" w:hAnsi="Times New Roman" w:cs="Times New Roman"/>
          <w:sz w:val="24"/>
          <w:szCs w:val="28"/>
          <w:lang w:eastAsia="bg-BG"/>
        </w:rPr>
        <w:t xml:space="preserve">централните и териториалните </w:t>
      </w:r>
      <w:r w:rsidR="004710A8">
        <w:rPr>
          <w:rFonts w:ascii="Times New Roman" w:eastAsia="Calibri" w:hAnsi="Times New Roman" w:cs="Times New Roman"/>
          <w:sz w:val="24"/>
          <w:szCs w:val="28"/>
          <w:lang w:eastAsia="bg-BG"/>
        </w:rPr>
        <w:t>о</w:t>
      </w:r>
      <w:r w:rsidR="00207A38">
        <w:rPr>
          <w:rFonts w:ascii="Times New Roman" w:eastAsia="Calibri" w:hAnsi="Times New Roman" w:cs="Times New Roman"/>
          <w:sz w:val="24"/>
          <w:szCs w:val="28"/>
          <w:lang w:eastAsia="bg-BG"/>
        </w:rPr>
        <w:t>ргани</w:t>
      </w:r>
      <w:r w:rsidR="004710A8">
        <w:rPr>
          <w:rFonts w:ascii="Times New Roman" w:eastAsia="Calibri" w:hAnsi="Times New Roman" w:cs="Times New Roman"/>
          <w:sz w:val="24"/>
          <w:szCs w:val="28"/>
          <w:lang w:eastAsia="bg-BG"/>
        </w:rPr>
        <w:t xml:space="preserve"> за управление и</w:t>
      </w:r>
      <w:r w:rsidR="00DF0E52" w:rsidRPr="00DF0E52">
        <w:rPr>
          <w:rFonts w:ascii="Times New Roman" w:eastAsia="Calibri" w:hAnsi="Times New Roman" w:cs="Times New Roman"/>
          <w:sz w:val="24"/>
          <w:szCs w:val="28"/>
          <w:lang w:eastAsia="bg-BG"/>
        </w:rPr>
        <w:t xml:space="preserve"> институции</w:t>
      </w:r>
      <w:r w:rsidR="004710A8">
        <w:rPr>
          <w:rFonts w:ascii="Times New Roman" w:eastAsia="Calibri" w:hAnsi="Times New Roman" w:cs="Times New Roman"/>
          <w:sz w:val="24"/>
          <w:szCs w:val="28"/>
          <w:lang w:eastAsia="bg-BG"/>
        </w:rPr>
        <w:t>те</w:t>
      </w:r>
      <w:r w:rsidR="00DF0E52" w:rsidRPr="00DF0E52">
        <w:rPr>
          <w:rFonts w:ascii="Times New Roman" w:eastAsia="Calibri" w:hAnsi="Times New Roman" w:cs="Times New Roman"/>
          <w:sz w:val="24"/>
          <w:szCs w:val="28"/>
          <w:lang w:eastAsia="bg-BG"/>
        </w:rPr>
        <w:t xml:space="preserve"> по отношение разработване, приемане, изпълнение, наблюдение, контрол и оценка на </w:t>
      </w:r>
      <w:r>
        <w:rPr>
          <w:rFonts w:ascii="Times New Roman" w:eastAsia="Calibri" w:hAnsi="Times New Roman" w:cs="Times New Roman"/>
          <w:sz w:val="24"/>
          <w:szCs w:val="28"/>
          <w:lang w:eastAsia="bg-BG"/>
        </w:rPr>
        <w:t>изпълнението на стратегиите и плановете за регионално и местно развитие</w:t>
      </w:r>
      <w:r w:rsidR="00DF0E52" w:rsidRPr="00DF0E52">
        <w:rPr>
          <w:rFonts w:ascii="Times New Roman" w:eastAsia="Calibri" w:hAnsi="Times New Roman" w:cs="Times New Roman"/>
          <w:sz w:val="24"/>
          <w:szCs w:val="28"/>
          <w:lang w:eastAsia="bg-BG"/>
        </w:rPr>
        <w:t xml:space="preserve">, както и процесът по осигуряване на информация и публичност на заинтересованите страни. </w:t>
      </w:r>
      <w:r>
        <w:rPr>
          <w:rFonts w:ascii="Times New Roman" w:eastAsia="Calibri" w:hAnsi="Times New Roman" w:cs="Times New Roman"/>
          <w:sz w:val="24"/>
          <w:szCs w:val="28"/>
          <w:lang w:eastAsia="bg-BG"/>
        </w:rPr>
        <w:t>Регионалните съвети за развитие</w:t>
      </w:r>
      <w:r w:rsidR="00DF0E52" w:rsidRPr="00DF0E52">
        <w:rPr>
          <w:rFonts w:ascii="Times New Roman" w:eastAsia="Calibri" w:hAnsi="Times New Roman" w:cs="Times New Roman"/>
          <w:sz w:val="24"/>
          <w:szCs w:val="28"/>
          <w:lang w:eastAsia="bg-BG"/>
        </w:rPr>
        <w:t xml:space="preserve"> </w:t>
      </w:r>
      <w:r w:rsidR="00207A38">
        <w:rPr>
          <w:rFonts w:ascii="Times New Roman" w:eastAsia="Calibri" w:hAnsi="Times New Roman" w:cs="Times New Roman"/>
          <w:sz w:val="24"/>
          <w:szCs w:val="28"/>
          <w:lang w:eastAsia="bg-BG"/>
        </w:rPr>
        <w:t xml:space="preserve">и областните управители </w:t>
      </w:r>
      <w:r w:rsidR="004710A8">
        <w:rPr>
          <w:rFonts w:ascii="Times New Roman" w:eastAsia="Calibri" w:hAnsi="Times New Roman" w:cs="Times New Roman"/>
          <w:sz w:val="24"/>
          <w:szCs w:val="28"/>
          <w:lang w:eastAsia="bg-BG"/>
        </w:rPr>
        <w:t xml:space="preserve">играят ключова роля за </w:t>
      </w:r>
      <w:r w:rsidR="00DF0E52" w:rsidRPr="00DF0E52">
        <w:rPr>
          <w:rFonts w:ascii="Times New Roman" w:eastAsia="Calibri" w:hAnsi="Times New Roman" w:cs="Times New Roman"/>
          <w:sz w:val="24"/>
          <w:szCs w:val="28"/>
          <w:lang w:eastAsia="bg-BG"/>
        </w:rPr>
        <w:t>осигурява</w:t>
      </w:r>
      <w:r w:rsidR="004710A8">
        <w:rPr>
          <w:rFonts w:ascii="Times New Roman" w:eastAsia="Calibri" w:hAnsi="Times New Roman" w:cs="Times New Roman"/>
          <w:sz w:val="24"/>
          <w:szCs w:val="28"/>
          <w:lang w:eastAsia="bg-BG"/>
        </w:rPr>
        <w:t>не</w:t>
      </w:r>
      <w:r w:rsidR="00DF0E52" w:rsidRPr="00DF0E52">
        <w:rPr>
          <w:rFonts w:ascii="Times New Roman" w:eastAsia="Calibri" w:hAnsi="Times New Roman" w:cs="Times New Roman"/>
          <w:sz w:val="24"/>
          <w:szCs w:val="28"/>
          <w:lang w:eastAsia="bg-BG"/>
        </w:rPr>
        <w:t xml:space="preserve"> широкото и ефективно участие на всички партньори в процеса на планиране, </w:t>
      </w:r>
      <w:r>
        <w:rPr>
          <w:rFonts w:ascii="Times New Roman" w:eastAsia="Calibri" w:hAnsi="Times New Roman" w:cs="Times New Roman"/>
          <w:sz w:val="24"/>
          <w:szCs w:val="28"/>
          <w:lang w:eastAsia="bg-BG"/>
        </w:rPr>
        <w:t>изпълнение</w:t>
      </w:r>
      <w:r w:rsidR="00DF0E52" w:rsidRPr="00DF0E52">
        <w:rPr>
          <w:rFonts w:ascii="Times New Roman" w:eastAsia="Calibri" w:hAnsi="Times New Roman" w:cs="Times New Roman"/>
          <w:sz w:val="24"/>
          <w:szCs w:val="28"/>
          <w:lang w:eastAsia="bg-BG"/>
        </w:rPr>
        <w:t xml:space="preserve">, наблюдение и оценяване на </w:t>
      </w:r>
      <w:r>
        <w:rPr>
          <w:rFonts w:ascii="Times New Roman" w:eastAsia="Calibri" w:hAnsi="Times New Roman" w:cs="Times New Roman"/>
          <w:sz w:val="24"/>
          <w:szCs w:val="28"/>
          <w:lang w:eastAsia="bg-BG"/>
        </w:rPr>
        <w:t>политиките и действията</w:t>
      </w:r>
      <w:r w:rsidR="00DF0E52" w:rsidRPr="00DF0E52">
        <w:rPr>
          <w:rFonts w:ascii="Times New Roman" w:eastAsia="Calibri" w:hAnsi="Times New Roman" w:cs="Times New Roman"/>
          <w:sz w:val="24"/>
          <w:szCs w:val="28"/>
          <w:lang w:eastAsia="bg-BG"/>
        </w:rPr>
        <w:t xml:space="preserve"> за регионално развитие в районите от ниво 2</w:t>
      </w:r>
      <w:r w:rsidR="00207A38">
        <w:rPr>
          <w:rFonts w:ascii="Times New Roman" w:eastAsia="Calibri" w:hAnsi="Times New Roman" w:cs="Times New Roman"/>
          <w:sz w:val="24"/>
          <w:szCs w:val="28"/>
          <w:lang w:eastAsia="bg-BG"/>
        </w:rPr>
        <w:t xml:space="preserve"> и областите</w:t>
      </w:r>
      <w:r w:rsidR="00DF0E52" w:rsidRPr="00DF0E52">
        <w:rPr>
          <w:rFonts w:ascii="Times New Roman" w:eastAsia="Calibri" w:hAnsi="Times New Roman" w:cs="Times New Roman"/>
          <w:sz w:val="24"/>
          <w:szCs w:val="28"/>
          <w:lang w:eastAsia="bg-BG"/>
        </w:rPr>
        <w:t xml:space="preserve">. </w:t>
      </w:r>
    </w:p>
    <w:p w:rsidR="00DF0E52" w:rsidRPr="00DF0E52" w:rsidRDefault="004710A8" w:rsidP="002941E4">
      <w:pPr>
        <w:spacing w:after="0" w:line="360" w:lineRule="auto"/>
        <w:ind w:firstLine="720"/>
        <w:jc w:val="both"/>
        <w:rPr>
          <w:rFonts w:ascii="Times New Roman" w:eastAsia="Calibri" w:hAnsi="Times New Roman" w:cs="Times New Roman"/>
          <w:sz w:val="24"/>
          <w:szCs w:val="28"/>
          <w:lang w:eastAsia="bg-BG"/>
        </w:rPr>
      </w:pPr>
      <w:r>
        <w:rPr>
          <w:rFonts w:ascii="Times New Roman" w:eastAsia="Calibri" w:hAnsi="Times New Roman" w:cs="Times New Roman"/>
          <w:sz w:val="24"/>
          <w:szCs w:val="28"/>
          <w:lang w:eastAsia="bg-BG"/>
        </w:rPr>
        <w:t>Значително е повишена</w:t>
      </w:r>
      <w:r w:rsidR="00DF0E52" w:rsidRPr="00DF0E52">
        <w:rPr>
          <w:rFonts w:ascii="Times New Roman" w:eastAsia="Calibri" w:hAnsi="Times New Roman" w:cs="Times New Roman"/>
          <w:sz w:val="24"/>
          <w:szCs w:val="28"/>
          <w:lang w:eastAsia="bg-BG"/>
        </w:rPr>
        <w:t xml:space="preserve"> ефективността на общинските администрации чрез </w:t>
      </w:r>
      <w:r>
        <w:rPr>
          <w:rFonts w:ascii="Times New Roman" w:eastAsia="Calibri" w:hAnsi="Times New Roman" w:cs="Times New Roman"/>
          <w:sz w:val="24"/>
          <w:szCs w:val="28"/>
          <w:lang w:eastAsia="bg-BG"/>
        </w:rPr>
        <w:t xml:space="preserve">укрепване на капацитета за </w:t>
      </w:r>
      <w:r w:rsidR="00DF0E52" w:rsidRPr="00DF0E52">
        <w:rPr>
          <w:rFonts w:ascii="Times New Roman" w:eastAsia="Calibri" w:hAnsi="Times New Roman" w:cs="Times New Roman"/>
          <w:sz w:val="24"/>
          <w:szCs w:val="28"/>
          <w:lang w:eastAsia="bg-BG"/>
        </w:rPr>
        <w:t xml:space="preserve">стратегическо планиране на </w:t>
      </w:r>
      <w:r>
        <w:rPr>
          <w:rFonts w:ascii="Times New Roman" w:eastAsia="Calibri" w:hAnsi="Times New Roman" w:cs="Times New Roman"/>
          <w:sz w:val="24"/>
          <w:szCs w:val="28"/>
          <w:lang w:eastAsia="bg-BG"/>
        </w:rPr>
        <w:t>развитието на местно ниво и</w:t>
      </w:r>
      <w:r w:rsidR="00DF0E52" w:rsidRPr="00DF0E52">
        <w:rPr>
          <w:rFonts w:ascii="Times New Roman" w:eastAsia="Calibri" w:hAnsi="Times New Roman" w:cs="Times New Roman"/>
          <w:sz w:val="24"/>
          <w:szCs w:val="28"/>
          <w:lang w:eastAsia="bg-BG"/>
        </w:rPr>
        <w:t xml:space="preserve"> оптимизация на работ</w:t>
      </w:r>
      <w:r>
        <w:rPr>
          <w:rFonts w:ascii="Times New Roman" w:eastAsia="Calibri" w:hAnsi="Times New Roman" w:cs="Times New Roman"/>
          <w:sz w:val="24"/>
          <w:szCs w:val="28"/>
          <w:lang w:eastAsia="bg-BG"/>
        </w:rPr>
        <w:t>ата при изпълнение на отделни проекти</w:t>
      </w:r>
      <w:r w:rsidR="00DF0E52" w:rsidRPr="00DF0E52">
        <w:rPr>
          <w:rFonts w:ascii="Times New Roman" w:eastAsia="Calibri" w:hAnsi="Times New Roman" w:cs="Times New Roman"/>
          <w:sz w:val="24"/>
          <w:szCs w:val="28"/>
          <w:lang w:eastAsia="bg-BG"/>
        </w:rPr>
        <w:t xml:space="preserve">. Реализирани са </w:t>
      </w:r>
      <w:r>
        <w:rPr>
          <w:rFonts w:ascii="Times New Roman" w:eastAsia="Calibri" w:hAnsi="Times New Roman" w:cs="Times New Roman"/>
          <w:sz w:val="24"/>
          <w:szCs w:val="28"/>
          <w:lang w:eastAsia="bg-BG"/>
        </w:rPr>
        <w:t xml:space="preserve">многобройни </w:t>
      </w:r>
      <w:r w:rsidR="00DF0E52" w:rsidRPr="00DF0E52">
        <w:rPr>
          <w:rFonts w:ascii="Times New Roman" w:eastAsia="Calibri" w:hAnsi="Times New Roman" w:cs="Times New Roman"/>
          <w:sz w:val="24"/>
          <w:szCs w:val="28"/>
          <w:lang w:eastAsia="bg-BG"/>
        </w:rPr>
        <w:t xml:space="preserve">проекти за добро управление, по-добра отчетност и </w:t>
      </w:r>
      <w:r>
        <w:rPr>
          <w:rFonts w:ascii="Times New Roman" w:eastAsia="Calibri" w:hAnsi="Times New Roman" w:cs="Times New Roman"/>
          <w:sz w:val="24"/>
          <w:szCs w:val="28"/>
          <w:lang w:eastAsia="bg-BG"/>
        </w:rPr>
        <w:t>контрол, подобряване на публичността,</w:t>
      </w:r>
      <w:r w:rsidR="00DF0E52" w:rsidRPr="00DF0E52">
        <w:rPr>
          <w:rFonts w:ascii="Times New Roman" w:eastAsia="Calibri" w:hAnsi="Times New Roman" w:cs="Times New Roman"/>
          <w:sz w:val="24"/>
          <w:szCs w:val="28"/>
          <w:lang w:eastAsia="bg-BG"/>
        </w:rPr>
        <w:t xml:space="preserve"> прозрачността</w:t>
      </w:r>
      <w:r>
        <w:rPr>
          <w:rFonts w:ascii="Times New Roman" w:eastAsia="Calibri" w:hAnsi="Times New Roman" w:cs="Times New Roman"/>
          <w:sz w:val="24"/>
          <w:szCs w:val="28"/>
          <w:lang w:eastAsia="bg-BG"/>
        </w:rPr>
        <w:t xml:space="preserve"> и партньорството</w:t>
      </w:r>
      <w:r w:rsidR="00DF0E52" w:rsidRPr="00DF0E52">
        <w:rPr>
          <w:rFonts w:ascii="Times New Roman" w:eastAsia="Calibri" w:hAnsi="Times New Roman" w:cs="Times New Roman"/>
          <w:sz w:val="24"/>
          <w:szCs w:val="28"/>
          <w:lang w:eastAsia="bg-BG"/>
        </w:rPr>
        <w:t xml:space="preserve"> в работата </w:t>
      </w:r>
      <w:r w:rsidR="00207A38">
        <w:rPr>
          <w:rFonts w:ascii="Times New Roman" w:eastAsia="Calibri" w:hAnsi="Times New Roman" w:cs="Times New Roman"/>
          <w:sz w:val="24"/>
          <w:szCs w:val="28"/>
          <w:lang w:eastAsia="bg-BG"/>
        </w:rPr>
        <w:t>на администрациите</w:t>
      </w:r>
      <w:r w:rsidR="00DF0E52" w:rsidRPr="00DF0E52">
        <w:rPr>
          <w:rFonts w:ascii="Times New Roman" w:eastAsia="Calibri" w:hAnsi="Times New Roman" w:cs="Times New Roman"/>
          <w:sz w:val="24"/>
          <w:szCs w:val="28"/>
          <w:lang w:eastAsia="bg-BG"/>
        </w:rPr>
        <w:t xml:space="preserve">. </w:t>
      </w:r>
      <w:r w:rsidR="00207A38">
        <w:rPr>
          <w:rFonts w:ascii="Times New Roman" w:eastAsia="Calibri" w:hAnsi="Times New Roman" w:cs="Times New Roman"/>
          <w:sz w:val="24"/>
          <w:szCs w:val="28"/>
          <w:lang w:eastAsia="bg-BG"/>
        </w:rPr>
        <w:t>В</w:t>
      </w:r>
      <w:r w:rsidR="00DF0E52" w:rsidRPr="00DF0E52">
        <w:rPr>
          <w:rFonts w:ascii="Times New Roman" w:eastAsia="Calibri" w:hAnsi="Times New Roman" w:cs="Times New Roman"/>
          <w:sz w:val="24"/>
          <w:szCs w:val="28"/>
          <w:lang w:eastAsia="bg-BG"/>
        </w:rPr>
        <w:t xml:space="preserve">ъведени </w:t>
      </w:r>
      <w:r w:rsidR="00207A38">
        <w:rPr>
          <w:rFonts w:ascii="Times New Roman" w:eastAsia="Calibri" w:hAnsi="Times New Roman" w:cs="Times New Roman"/>
          <w:sz w:val="24"/>
          <w:szCs w:val="28"/>
          <w:lang w:eastAsia="bg-BG"/>
        </w:rPr>
        <w:t xml:space="preserve">са </w:t>
      </w:r>
      <w:r w:rsidR="00DF0E52" w:rsidRPr="00DF0E52">
        <w:rPr>
          <w:rFonts w:ascii="Times New Roman" w:eastAsia="Calibri" w:hAnsi="Times New Roman" w:cs="Times New Roman"/>
          <w:sz w:val="24"/>
          <w:szCs w:val="28"/>
          <w:lang w:eastAsia="bg-BG"/>
        </w:rPr>
        <w:t xml:space="preserve">ефективни механизми </w:t>
      </w:r>
      <w:r w:rsidR="00207A38">
        <w:rPr>
          <w:rFonts w:ascii="Times New Roman" w:eastAsia="Calibri" w:hAnsi="Times New Roman" w:cs="Times New Roman"/>
          <w:sz w:val="24"/>
          <w:szCs w:val="28"/>
          <w:lang w:eastAsia="bg-BG"/>
        </w:rPr>
        <w:t>и правила</w:t>
      </w:r>
      <w:r w:rsidR="00DF0E52" w:rsidRPr="00DF0E52">
        <w:rPr>
          <w:rFonts w:ascii="Times New Roman" w:eastAsia="Calibri" w:hAnsi="Times New Roman" w:cs="Times New Roman"/>
          <w:sz w:val="24"/>
          <w:szCs w:val="28"/>
          <w:lang w:eastAsia="bg-BG"/>
        </w:rPr>
        <w:t xml:space="preserve"> за мониторинг и контрол на изпълнението на общински политики</w:t>
      </w:r>
      <w:r w:rsidR="00207A38">
        <w:rPr>
          <w:rFonts w:ascii="Times New Roman" w:eastAsia="Calibri" w:hAnsi="Times New Roman" w:cs="Times New Roman"/>
          <w:sz w:val="24"/>
          <w:szCs w:val="28"/>
          <w:lang w:eastAsia="bg-BG"/>
        </w:rPr>
        <w:t>, планови и програмни документи в различните сектори.</w:t>
      </w:r>
      <w:r w:rsidR="00DF0E52" w:rsidRPr="00DF0E52">
        <w:rPr>
          <w:rFonts w:ascii="Times New Roman" w:eastAsia="Calibri" w:hAnsi="Times New Roman" w:cs="Times New Roman"/>
          <w:sz w:val="24"/>
          <w:szCs w:val="28"/>
          <w:lang w:eastAsia="bg-BG"/>
        </w:rPr>
        <w:t xml:space="preserve"> Широко застъпени са различни обучения за подобряване на професионалната квалификация на служители</w:t>
      </w:r>
      <w:r w:rsidR="00207A38">
        <w:rPr>
          <w:rFonts w:ascii="Times New Roman" w:eastAsia="Calibri" w:hAnsi="Times New Roman" w:cs="Times New Roman"/>
          <w:sz w:val="24"/>
          <w:szCs w:val="28"/>
          <w:lang w:eastAsia="bg-BG"/>
        </w:rPr>
        <w:t>те.</w:t>
      </w:r>
    </w:p>
    <w:p w:rsidR="007A0407" w:rsidRDefault="007A0407" w:rsidP="0025387F">
      <w:pPr>
        <w:pStyle w:val="Heading1"/>
        <w:numPr>
          <w:ilvl w:val="0"/>
          <w:numId w:val="4"/>
        </w:numPr>
        <w:jc w:val="both"/>
        <w:rPr>
          <w:rFonts w:eastAsia="Times New Roman" w:cs="Times New Roman"/>
          <w:lang w:eastAsia="bg-BG"/>
        </w:rPr>
      </w:pPr>
      <w:bookmarkStart w:id="5" w:name="_Toc478043745"/>
      <w:r>
        <w:rPr>
          <w:rFonts w:eastAsia="Times New Roman" w:cs="Times New Roman"/>
          <w:lang w:eastAsia="bg-BG"/>
        </w:rPr>
        <w:t>РЕЗУЛТАТИ</w:t>
      </w:r>
      <w:r w:rsidRPr="007A0407">
        <w:rPr>
          <w:rFonts w:eastAsia="Times New Roman" w:cs="Times New Roman"/>
          <w:lang w:eastAsia="bg-BG"/>
        </w:rPr>
        <w:t xml:space="preserve"> ОТ ПОСЛЕДВАЩАТА ОЦЕНКА НА ИЗПЪЛНЕНИЕТО НА РЕГИОНАЛНИТЕ ПЛАНОВЕ ЗА РАЗВИТИЕ </w:t>
      </w:r>
      <w:r>
        <w:rPr>
          <w:rFonts w:eastAsia="Times New Roman" w:cs="Times New Roman"/>
          <w:lang w:eastAsia="bg-BG"/>
        </w:rPr>
        <w:t>2007-2013 Г.</w:t>
      </w:r>
      <w:bookmarkEnd w:id="5"/>
    </w:p>
    <w:p w:rsidR="00403AD9" w:rsidRDefault="00403AD9" w:rsidP="00403AD9">
      <w:pPr>
        <w:spacing w:after="120" w:line="360" w:lineRule="auto"/>
        <w:ind w:firstLine="709"/>
        <w:jc w:val="both"/>
        <w:rPr>
          <w:rFonts w:ascii="Times New Roman" w:eastAsia="Calibri" w:hAnsi="Times New Roman" w:cs="Times New Roman"/>
          <w:sz w:val="24"/>
          <w:szCs w:val="28"/>
          <w:lang w:eastAsia="bg-BG"/>
        </w:rPr>
      </w:pPr>
    </w:p>
    <w:p w:rsidR="00403AD9" w:rsidRPr="00E86E06" w:rsidRDefault="00403AD9" w:rsidP="00403AD9">
      <w:pPr>
        <w:spacing w:after="120" w:line="360" w:lineRule="auto"/>
        <w:ind w:firstLine="709"/>
        <w:jc w:val="both"/>
        <w:rPr>
          <w:rFonts w:ascii="Times New Roman" w:eastAsia="Calibri" w:hAnsi="Times New Roman" w:cs="Times New Roman"/>
          <w:sz w:val="24"/>
          <w:szCs w:val="28"/>
          <w:lang w:eastAsia="bg-BG"/>
        </w:rPr>
      </w:pPr>
      <w:r w:rsidRPr="00E86E06">
        <w:rPr>
          <w:rFonts w:ascii="Times New Roman" w:eastAsia="Calibri" w:hAnsi="Times New Roman" w:cs="Times New Roman"/>
          <w:sz w:val="24"/>
          <w:szCs w:val="28"/>
          <w:lang w:eastAsia="bg-BG"/>
        </w:rPr>
        <w:lastRenderedPageBreak/>
        <w:t>Обобщените изво</w:t>
      </w:r>
      <w:r>
        <w:rPr>
          <w:rFonts w:ascii="Times New Roman" w:eastAsia="Calibri" w:hAnsi="Times New Roman" w:cs="Times New Roman"/>
          <w:sz w:val="24"/>
          <w:szCs w:val="28"/>
          <w:lang w:eastAsia="bg-BG"/>
        </w:rPr>
        <w:t>ди от изготвените през 2014 г. П</w:t>
      </w:r>
      <w:r w:rsidRPr="00E86E06">
        <w:rPr>
          <w:rFonts w:ascii="Times New Roman" w:eastAsia="Calibri" w:hAnsi="Times New Roman" w:cs="Times New Roman"/>
          <w:sz w:val="24"/>
          <w:szCs w:val="28"/>
          <w:lang w:eastAsia="bg-BG"/>
        </w:rPr>
        <w:t>оследващи оценки на Регионалните планове за развитие</w:t>
      </w:r>
      <w:r>
        <w:rPr>
          <w:rFonts w:ascii="Times New Roman" w:eastAsia="Calibri" w:hAnsi="Times New Roman" w:cs="Times New Roman"/>
          <w:sz w:val="24"/>
          <w:szCs w:val="28"/>
          <w:lang w:eastAsia="bg-BG"/>
        </w:rPr>
        <w:t xml:space="preserve"> (РПР)</w:t>
      </w:r>
      <w:r w:rsidRPr="00E86E06">
        <w:rPr>
          <w:rFonts w:ascii="Times New Roman" w:eastAsia="Calibri" w:hAnsi="Times New Roman" w:cs="Times New Roman"/>
          <w:sz w:val="24"/>
          <w:szCs w:val="28"/>
          <w:lang w:eastAsia="bg-BG"/>
        </w:rPr>
        <w:t xml:space="preserve"> за периода 2007-2013 г. са следните:</w:t>
      </w:r>
    </w:p>
    <w:p w:rsidR="00403AD9" w:rsidRPr="00603044" w:rsidRDefault="00403AD9" w:rsidP="00403AD9">
      <w:pPr>
        <w:spacing w:after="120" w:line="360" w:lineRule="auto"/>
        <w:ind w:firstLine="709"/>
        <w:jc w:val="both"/>
        <w:rPr>
          <w:rFonts w:ascii="Times New Roman" w:eastAsia="Calibri" w:hAnsi="Times New Roman" w:cs="Times New Roman"/>
          <w:b/>
          <w:iCs/>
          <w:sz w:val="24"/>
          <w:szCs w:val="24"/>
        </w:rPr>
      </w:pPr>
      <w:r>
        <w:rPr>
          <w:rFonts w:ascii="Times New Roman" w:eastAsia="Calibri" w:hAnsi="Times New Roman" w:cs="Times New Roman"/>
          <w:b/>
          <w:iCs/>
          <w:sz w:val="24"/>
          <w:szCs w:val="24"/>
        </w:rPr>
        <w:t>3.1. С</w:t>
      </w:r>
      <w:r w:rsidRPr="00603044">
        <w:rPr>
          <w:rFonts w:ascii="Times New Roman" w:eastAsia="Calibri" w:hAnsi="Times New Roman" w:cs="Times New Roman"/>
          <w:b/>
          <w:iCs/>
          <w:sz w:val="24"/>
          <w:szCs w:val="24"/>
        </w:rPr>
        <w:t>ев</w:t>
      </w:r>
      <w:r>
        <w:rPr>
          <w:rFonts w:ascii="Times New Roman" w:eastAsia="Calibri" w:hAnsi="Times New Roman" w:cs="Times New Roman"/>
          <w:b/>
          <w:iCs/>
          <w:sz w:val="24"/>
          <w:szCs w:val="24"/>
        </w:rPr>
        <w:t>ерозападен район</w:t>
      </w:r>
    </w:p>
    <w:p w:rsidR="00403AD9" w:rsidRPr="00D373C3" w:rsidRDefault="00403AD9" w:rsidP="00403AD9">
      <w:pPr>
        <w:autoSpaceDE w:val="0"/>
        <w:autoSpaceDN w:val="0"/>
        <w:adjustRightInd w:val="0"/>
        <w:spacing w:after="0" w:line="360" w:lineRule="auto"/>
        <w:ind w:firstLine="709"/>
        <w:jc w:val="both"/>
        <w:rPr>
          <w:rFonts w:ascii="Times New Roman" w:eastAsia="Calibri" w:hAnsi="Times New Roman" w:cs="Times New Roman"/>
          <w:iCs/>
          <w:sz w:val="24"/>
          <w:szCs w:val="24"/>
        </w:rPr>
      </w:pPr>
      <w:r w:rsidRPr="00D373C3">
        <w:rPr>
          <w:rFonts w:ascii="Times New Roman" w:eastAsia="Calibri" w:hAnsi="Times New Roman" w:cs="Times New Roman"/>
          <w:iCs/>
          <w:sz w:val="24"/>
          <w:szCs w:val="24"/>
        </w:rPr>
        <w:t xml:space="preserve">Въпреки предприетите мерки и усвоени средства, СЗР трайно изостава на национално и европейско ниво по основните показатели за икономически растеж. Районът е силно повлиян и от икономическата криза. Основен проблем на СЗР е неработещата икономика и нивото на развитие на малкия и средния бизнес, които  осигуряват заетост, доходи и мотивацията на населението да остане в СЗР. Други сериозни проблеми са демографските проблеми и обезлюдяването. Резултатите от тези  проблеми водят до развитие и концентрация на ресурси основно на областните градове и на няколко други </w:t>
      </w:r>
      <w:r>
        <w:rPr>
          <w:rFonts w:ascii="Times New Roman" w:eastAsia="Calibri" w:hAnsi="Times New Roman" w:cs="Times New Roman"/>
          <w:iCs/>
          <w:sz w:val="24"/>
          <w:szCs w:val="24"/>
        </w:rPr>
        <w:t>по-малки</w:t>
      </w:r>
      <w:r w:rsidRPr="00D373C3">
        <w:rPr>
          <w:rFonts w:ascii="Times New Roman" w:eastAsia="Calibri" w:hAnsi="Times New Roman" w:cs="Times New Roman"/>
          <w:iCs/>
          <w:sz w:val="24"/>
          <w:szCs w:val="24"/>
        </w:rPr>
        <w:t>. Не са преодолени вътрешнорегионалните различия и областите Видин и Монтана изост</w:t>
      </w:r>
      <w:r>
        <w:rPr>
          <w:rFonts w:ascii="Times New Roman" w:eastAsia="Calibri" w:hAnsi="Times New Roman" w:cs="Times New Roman"/>
          <w:iCs/>
          <w:sz w:val="24"/>
          <w:szCs w:val="24"/>
        </w:rPr>
        <w:t>ават по почти всички показатели</w:t>
      </w:r>
      <w:r w:rsidRPr="00D373C3">
        <w:rPr>
          <w:rFonts w:ascii="Times New Roman" w:eastAsia="Calibri" w:hAnsi="Times New Roman" w:cs="Times New Roman"/>
          <w:iCs/>
          <w:sz w:val="24"/>
          <w:szCs w:val="24"/>
        </w:rPr>
        <w:t xml:space="preserve">. По отношение </w:t>
      </w:r>
      <w:r>
        <w:rPr>
          <w:rFonts w:ascii="Times New Roman" w:eastAsia="Calibri" w:hAnsi="Times New Roman" w:cs="Times New Roman"/>
          <w:iCs/>
          <w:sz w:val="24"/>
          <w:szCs w:val="24"/>
        </w:rPr>
        <w:t xml:space="preserve">на </w:t>
      </w:r>
      <w:r w:rsidRPr="00D373C3">
        <w:rPr>
          <w:rFonts w:ascii="Times New Roman" w:eastAsia="Calibri" w:hAnsi="Times New Roman" w:cs="Times New Roman"/>
          <w:iCs/>
          <w:sz w:val="24"/>
          <w:szCs w:val="24"/>
        </w:rPr>
        <w:t xml:space="preserve">междурегионалните различия, не се наблюдава задълбочаване. </w:t>
      </w:r>
    </w:p>
    <w:p w:rsidR="00403AD9" w:rsidRDefault="00403AD9" w:rsidP="005F061A">
      <w:pPr>
        <w:spacing w:after="120" w:line="360" w:lineRule="auto"/>
        <w:ind w:firstLine="709"/>
        <w:jc w:val="both"/>
        <w:rPr>
          <w:rFonts w:ascii="Times New Roman" w:eastAsia="Calibri" w:hAnsi="Times New Roman" w:cs="Times New Roman"/>
          <w:iCs/>
          <w:sz w:val="24"/>
          <w:szCs w:val="24"/>
        </w:rPr>
      </w:pPr>
      <w:r w:rsidRPr="00D373C3">
        <w:rPr>
          <w:rFonts w:ascii="Times New Roman" w:eastAsia="Calibri" w:hAnsi="Times New Roman" w:cs="Times New Roman"/>
          <w:iCs/>
          <w:sz w:val="24"/>
          <w:szCs w:val="24"/>
        </w:rPr>
        <w:t xml:space="preserve">Въпреки, че към СЗР през анализирания период 2007-2013 г. се включват и областите Плевен и Ловеч, районът не успява да се превърне в динамично развиващ се европейски регион с устойчив икономически растеж и повишена заетост, каквато е част от определената през 2005 г. в плана визия за развитие. </w:t>
      </w:r>
      <w:r w:rsidRPr="00061743">
        <w:rPr>
          <w:rFonts w:ascii="Times New Roman" w:eastAsia="Calibri" w:hAnsi="Times New Roman" w:cs="Times New Roman"/>
          <w:iCs/>
          <w:sz w:val="24"/>
          <w:szCs w:val="24"/>
        </w:rPr>
        <w:t>Постигнатият икономически напредък на СЗР през анализирания период е силно ограничен.</w:t>
      </w:r>
      <w:r w:rsidRPr="00D373C3">
        <w:rPr>
          <w:rFonts w:ascii="Times New Roman" w:eastAsia="Calibri" w:hAnsi="Times New Roman" w:cs="Times New Roman"/>
          <w:iCs/>
          <w:sz w:val="24"/>
          <w:szCs w:val="24"/>
        </w:rPr>
        <w:t xml:space="preserve"> Предприети са мерки и усилия за постигане на ефективни резултати, които обаче се недостатъчни като обем и недостатъчно ефективни като въздействие.</w:t>
      </w:r>
    </w:p>
    <w:p w:rsidR="00161885" w:rsidRPr="007578C2" w:rsidRDefault="00161885" w:rsidP="00161885">
      <w:pPr>
        <w:spacing w:after="120" w:line="360" w:lineRule="auto"/>
        <w:ind w:firstLine="709"/>
        <w:jc w:val="both"/>
        <w:rPr>
          <w:rFonts w:ascii="Times New Roman" w:eastAsia="Calibri" w:hAnsi="Times New Roman" w:cs="Times New Roman"/>
          <w:iCs/>
          <w:sz w:val="24"/>
          <w:szCs w:val="24"/>
          <w:lang w:val="en-US"/>
        </w:rPr>
      </w:pPr>
      <w:r w:rsidRPr="007578C2">
        <w:rPr>
          <w:rFonts w:ascii="Times New Roman" w:eastAsia="Calibri" w:hAnsi="Times New Roman" w:cs="Times New Roman"/>
          <w:iCs/>
          <w:sz w:val="24"/>
          <w:szCs w:val="24"/>
        </w:rPr>
        <w:t xml:space="preserve">Определените важни характеристики и потенциали за развитие на СЗР в началото на действие на регионалния план за развитие </w:t>
      </w:r>
      <w:r w:rsidRPr="007578C2">
        <w:rPr>
          <w:rFonts w:ascii="Times New Roman" w:eastAsia="Calibri" w:hAnsi="Times New Roman" w:cs="Times New Roman"/>
          <w:iCs/>
          <w:sz w:val="24"/>
          <w:szCs w:val="24"/>
          <w:lang w:val="ru-RU"/>
        </w:rPr>
        <w:t>(</w:t>
      </w:r>
      <w:r w:rsidRPr="007578C2">
        <w:rPr>
          <w:rFonts w:ascii="Times New Roman" w:eastAsia="Calibri" w:hAnsi="Times New Roman" w:cs="Times New Roman"/>
          <w:iCs/>
          <w:sz w:val="24"/>
          <w:szCs w:val="24"/>
        </w:rPr>
        <w:t>и потвърдени в НСРР 2012-2022 г.</w:t>
      </w:r>
      <w:r w:rsidRPr="007578C2">
        <w:rPr>
          <w:rFonts w:ascii="Times New Roman" w:eastAsia="Calibri" w:hAnsi="Times New Roman" w:cs="Times New Roman"/>
          <w:iCs/>
          <w:sz w:val="24"/>
          <w:szCs w:val="24"/>
          <w:lang w:val="ru-RU"/>
        </w:rPr>
        <w:t xml:space="preserve">) </w:t>
      </w:r>
      <w:r w:rsidRPr="007578C2">
        <w:rPr>
          <w:rFonts w:ascii="Times New Roman" w:eastAsia="Calibri" w:hAnsi="Times New Roman" w:cs="Times New Roman"/>
          <w:iCs/>
          <w:sz w:val="24"/>
          <w:szCs w:val="24"/>
        </w:rPr>
        <w:t>се запазват и след неговото изпълнение, но в недостатъчна степен са оползотворени: благоприятното географско положение, съхранените природни дадености и културно наследство; качеството на околната среда; транспортната инфраструктура – трансевропейски транспортни коридори – № 4 и № 7 (река Дунав), пристанищата и фериботните комплекси, мултимодалните превози и втория мост на р. Дунав при Видин – Калафат; река Дунав; наличие на качествен и ефективно използван поземлен ресурс.</w:t>
      </w:r>
    </w:p>
    <w:p w:rsidR="00161885" w:rsidRPr="00161885" w:rsidRDefault="00161885" w:rsidP="00161885">
      <w:pPr>
        <w:spacing w:after="120" w:line="360" w:lineRule="auto"/>
        <w:ind w:firstLine="709"/>
        <w:jc w:val="both"/>
        <w:rPr>
          <w:rFonts w:ascii="Times New Roman" w:eastAsia="Calibri" w:hAnsi="Times New Roman" w:cs="Times New Roman"/>
          <w:iCs/>
          <w:sz w:val="24"/>
          <w:szCs w:val="24"/>
        </w:rPr>
      </w:pPr>
      <w:r w:rsidRPr="007578C2">
        <w:rPr>
          <w:rFonts w:ascii="Times New Roman" w:eastAsia="Calibri" w:hAnsi="Times New Roman" w:cs="Times New Roman"/>
          <w:iCs/>
          <w:sz w:val="24"/>
          <w:szCs w:val="24"/>
        </w:rPr>
        <w:t xml:space="preserve">Основните рискове за развитието на СЗР са с свързани най-общо с несправянето с констатираните проблеми, по-важните от които са преодоляване на последиците от икономическата криза, преодоляване на изоставането, демографският срив и други. СЗР е поставен между най-силно уязвимите европейски райони пред </w:t>
      </w:r>
      <w:r w:rsidRPr="007578C2">
        <w:rPr>
          <w:rFonts w:ascii="Times New Roman" w:eastAsia="Calibri" w:hAnsi="Times New Roman" w:cs="Times New Roman"/>
          <w:iCs/>
          <w:sz w:val="24"/>
          <w:szCs w:val="24"/>
        </w:rPr>
        <w:lastRenderedPageBreak/>
        <w:t>предизвикателствата на глобализацията, демографските, климатичните и екологичните промени, според средносрочната перспектива до 2020 г. за регионите в ЕС. Съществен риск, който може би е водещ, е липсата на достатъчно финансов ресурс за изпълнение на РПР на СЗР 2014-2020 г.</w:t>
      </w:r>
    </w:p>
    <w:p w:rsidR="00403AD9" w:rsidRPr="00603044" w:rsidRDefault="00403AD9" w:rsidP="00403AD9">
      <w:pPr>
        <w:spacing w:before="120" w:after="120" w:line="360" w:lineRule="auto"/>
        <w:ind w:firstLine="709"/>
        <w:jc w:val="both"/>
        <w:rPr>
          <w:rFonts w:ascii="Times New Roman" w:eastAsia="Calibri" w:hAnsi="Times New Roman" w:cs="Times New Roman"/>
          <w:b/>
          <w:iCs/>
          <w:sz w:val="24"/>
          <w:szCs w:val="24"/>
        </w:rPr>
      </w:pPr>
      <w:r>
        <w:rPr>
          <w:rFonts w:ascii="Times New Roman" w:eastAsia="Calibri" w:hAnsi="Times New Roman" w:cs="Times New Roman"/>
          <w:b/>
          <w:iCs/>
          <w:sz w:val="24"/>
          <w:szCs w:val="24"/>
        </w:rPr>
        <w:t>3.2. С</w:t>
      </w:r>
      <w:r w:rsidRPr="00603044">
        <w:rPr>
          <w:rFonts w:ascii="Times New Roman" w:eastAsia="Calibri" w:hAnsi="Times New Roman" w:cs="Times New Roman"/>
          <w:b/>
          <w:iCs/>
          <w:sz w:val="24"/>
          <w:szCs w:val="24"/>
        </w:rPr>
        <w:t>еве</w:t>
      </w:r>
      <w:r>
        <w:rPr>
          <w:rFonts w:ascii="Times New Roman" w:eastAsia="Calibri" w:hAnsi="Times New Roman" w:cs="Times New Roman"/>
          <w:b/>
          <w:iCs/>
          <w:sz w:val="24"/>
          <w:szCs w:val="24"/>
        </w:rPr>
        <w:t>рен централен район</w:t>
      </w:r>
    </w:p>
    <w:p w:rsidR="00403AD9" w:rsidRPr="006161D7" w:rsidRDefault="00403AD9" w:rsidP="00403AD9">
      <w:pPr>
        <w:spacing w:after="0" w:line="360" w:lineRule="auto"/>
        <w:contextualSpacing/>
        <w:jc w:val="both"/>
        <w:rPr>
          <w:rFonts w:ascii="Times New Roman" w:eastAsia="Calibri" w:hAnsi="Times New Roman" w:cs="Times New Roman"/>
          <w:sz w:val="24"/>
          <w:szCs w:val="24"/>
          <w:lang w:val="en-US"/>
        </w:rPr>
      </w:pPr>
      <w:r>
        <w:rPr>
          <w:rFonts w:ascii="Times New Roman" w:eastAsia="SimSun" w:hAnsi="Times New Roman" w:cs="Times New Roman"/>
          <w:sz w:val="24"/>
          <w:szCs w:val="24"/>
          <w:lang w:val="en-US" w:eastAsia="zh-CN"/>
        </w:rPr>
        <w:tab/>
      </w:r>
      <w:r w:rsidRPr="00B24348">
        <w:rPr>
          <w:rFonts w:ascii="Times New Roman" w:eastAsia="Calibri" w:hAnsi="Times New Roman" w:cs="Times New Roman"/>
          <w:sz w:val="24"/>
          <w:szCs w:val="24"/>
        </w:rPr>
        <w:t>Налице е ясно  разминаване между част от заложените приоритети и специфични цели и  постигнатите резултати, които се отличават с устойчив тренд на развитие. Така например, през целия период на действие на РПР, не се наблюдава постигането на ясно открояващи се позитивни резултати по отношение генерирането на осезаем ръст на индустриалното производство, базиран на икономиката на знанието, какъвто е един от основните приоритети за развитие в стратегическия документ, а напротив – налице е устойчив дефици</w:t>
      </w:r>
      <w:r w:rsidR="00F27E15">
        <w:rPr>
          <w:rFonts w:ascii="Times New Roman" w:eastAsia="Calibri" w:hAnsi="Times New Roman" w:cs="Times New Roman"/>
          <w:sz w:val="24"/>
          <w:szCs w:val="24"/>
        </w:rPr>
        <w:t>т на инвестиции в НИРД,</w:t>
      </w:r>
      <w:r w:rsidRPr="00B24348">
        <w:rPr>
          <w:rFonts w:ascii="Times New Roman" w:eastAsia="Calibri" w:hAnsi="Times New Roman" w:cs="Times New Roman"/>
          <w:sz w:val="24"/>
          <w:szCs w:val="24"/>
        </w:rPr>
        <w:t xml:space="preserve"> тренд на увеличение на к</w:t>
      </w:r>
      <w:r>
        <w:rPr>
          <w:rFonts w:ascii="Times New Roman" w:eastAsia="Calibri" w:hAnsi="Times New Roman" w:cs="Times New Roman"/>
          <w:sz w:val="24"/>
          <w:szCs w:val="24"/>
        </w:rPr>
        <w:t xml:space="preserve">оефициента на безработица </w:t>
      </w:r>
      <w:r w:rsidR="00F27E15">
        <w:rPr>
          <w:rFonts w:ascii="Times New Roman" w:eastAsia="Calibri" w:hAnsi="Times New Roman" w:cs="Times New Roman"/>
          <w:sz w:val="24"/>
          <w:szCs w:val="24"/>
        </w:rPr>
        <w:t xml:space="preserve">за по-голямата част от периода </w:t>
      </w:r>
      <w:r>
        <w:rPr>
          <w:rFonts w:ascii="Times New Roman" w:eastAsia="Calibri" w:hAnsi="Times New Roman" w:cs="Times New Roman"/>
          <w:sz w:val="24"/>
          <w:szCs w:val="24"/>
        </w:rPr>
        <w:t>и др.</w:t>
      </w:r>
    </w:p>
    <w:p w:rsidR="00403AD9" w:rsidRPr="001F5819" w:rsidRDefault="00403AD9" w:rsidP="00403AD9">
      <w:pPr>
        <w:spacing w:after="0" w:line="36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sidRPr="00B24348">
        <w:rPr>
          <w:rFonts w:ascii="Times New Roman" w:eastAsia="Calibri" w:hAnsi="Times New Roman" w:cs="Times New Roman"/>
          <w:sz w:val="24"/>
          <w:szCs w:val="24"/>
        </w:rPr>
        <w:t>Въпреки широко формулираните цели, постигнатите резултати показват, че най-много проекти са реализирани в областта на инфраструктурата, което  е логично не само с оглед осигурените възможности и ресурси, но и от обективните нужди на територията и икономиката от съвременна и</w:t>
      </w:r>
      <w:r>
        <w:rPr>
          <w:rFonts w:ascii="Times New Roman" w:eastAsia="Calibri" w:hAnsi="Times New Roman" w:cs="Times New Roman"/>
          <w:sz w:val="24"/>
          <w:szCs w:val="24"/>
        </w:rPr>
        <w:t>нфраструктурна база</w:t>
      </w:r>
      <w:r>
        <w:rPr>
          <w:rFonts w:ascii="Times New Roman" w:eastAsia="Calibri" w:hAnsi="Times New Roman" w:cs="Times New Roman"/>
          <w:sz w:val="24"/>
          <w:szCs w:val="24"/>
          <w:lang w:val="en-US"/>
        </w:rPr>
        <w:t>.</w:t>
      </w:r>
    </w:p>
    <w:p w:rsidR="00403AD9" w:rsidRPr="000C7BE7" w:rsidRDefault="00403AD9" w:rsidP="00403AD9">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Н</w:t>
      </w:r>
      <w:r w:rsidRPr="000C7BE7">
        <w:rPr>
          <w:rFonts w:ascii="Times New Roman" w:eastAsia="Calibri" w:hAnsi="Times New Roman" w:cs="Times New Roman"/>
          <w:sz w:val="24"/>
          <w:szCs w:val="24"/>
        </w:rPr>
        <w:t xml:space="preserve">аблюдава се </w:t>
      </w:r>
      <w:r>
        <w:rPr>
          <w:rFonts w:ascii="Times New Roman" w:eastAsia="Calibri" w:hAnsi="Times New Roman" w:cs="Times New Roman"/>
          <w:sz w:val="24"/>
          <w:szCs w:val="24"/>
        </w:rPr>
        <w:t>в</w:t>
      </w:r>
      <w:r w:rsidR="00F27E15">
        <w:rPr>
          <w:rFonts w:ascii="Times New Roman" w:eastAsia="Calibri" w:hAnsi="Times New Roman" w:cs="Times New Roman"/>
          <w:sz w:val="24"/>
          <w:szCs w:val="24"/>
        </w:rPr>
        <w:t>лошаване на демографските показатели по отношение на естествен прираст на населението, докато в областта на заетостта и безработицата състоянието се е подобрило</w:t>
      </w:r>
      <w:r w:rsidRPr="000C7BE7">
        <w:rPr>
          <w:rFonts w:ascii="Times New Roman" w:eastAsia="Calibri" w:hAnsi="Times New Roman" w:cs="Times New Roman"/>
          <w:sz w:val="24"/>
          <w:szCs w:val="24"/>
        </w:rPr>
        <w:t xml:space="preserve"> </w:t>
      </w:r>
      <w:r w:rsidR="0023466B">
        <w:rPr>
          <w:rFonts w:ascii="Times New Roman" w:eastAsia="Calibri" w:hAnsi="Times New Roman" w:cs="Times New Roman"/>
          <w:sz w:val="24"/>
          <w:szCs w:val="24"/>
        </w:rPr>
        <w:t xml:space="preserve">несъществено. </w:t>
      </w:r>
    </w:p>
    <w:p w:rsidR="00403AD9" w:rsidRPr="000C7BE7" w:rsidRDefault="00403AD9" w:rsidP="00403AD9">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0C7BE7">
        <w:rPr>
          <w:rFonts w:ascii="Times New Roman" w:eastAsia="Calibri" w:hAnsi="Times New Roman" w:cs="Times New Roman"/>
          <w:sz w:val="24"/>
          <w:szCs w:val="24"/>
        </w:rPr>
        <w:t>Движението на икономическите показатели показва, че в района се набл</w:t>
      </w:r>
      <w:r>
        <w:rPr>
          <w:rFonts w:ascii="Times New Roman" w:eastAsia="Calibri" w:hAnsi="Times New Roman" w:cs="Times New Roman"/>
          <w:sz w:val="24"/>
          <w:szCs w:val="24"/>
        </w:rPr>
        <w:t xml:space="preserve">юдава тенденция на растеж, но с </w:t>
      </w:r>
      <w:r w:rsidRPr="000C7BE7">
        <w:rPr>
          <w:rFonts w:ascii="Times New Roman" w:eastAsia="Calibri" w:hAnsi="Times New Roman" w:cs="Times New Roman"/>
          <w:sz w:val="24"/>
          <w:szCs w:val="24"/>
        </w:rPr>
        <w:t>бавни темпове, което се дължи както на сериозното действие на международната финансова криза, прераснала и в икономическа такава, така и на проблеми във фокуса на икономическата политика в региона, където е налице драстично разминаване както между потенциал</w:t>
      </w:r>
      <w:r>
        <w:rPr>
          <w:rFonts w:ascii="Times New Roman" w:eastAsia="Calibri" w:hAnsi="Times New Roman" w:cs="Times New Roman"/>
          <w:sz w:val="24"/>
          <w:szCs w:val="24"/>
        </w:rPr>
        <w:t>а</w:t>
      </w:r>
      <w:r w:rsidRPr="000C7BE7">
        <w:rPr>
          <w:rFonts w:ascii="Times New Roman" w:eastAsia="Calibri" w:hAnsi="Times New Roman" w:cs="Times New Roman"/>
          <w:sz w:val="24"/>
          <w:szCs w:val="24"/>
        </w:rPr>
        <w:t xml:space="preserve"> за икономическо развитие и осъществен</w:t>
      </w:r>
      <w:r>
        <w:rPr>
          <w:rFonts w:ascii="Times New Roman" w:eastAsia="Calibri" w:hAnsi="Times New Roman" w:cs="Times New Roman"/>
          <w:sz w:val="24"/>
          <w:szCs w:val="24"/>
        </w:rPr>
        <w:t>ия</w:t>
      </w:r>
      <w:r w:rsidRPr="000C7BE7">
        <w:rPr>
          <w:rFonts w:ascii="Times New Roman" w:eastAsia="Calibri" w:hAnsi="Times New Roman" w:cs="Times New Roman"/>
          <w:sz w:val="24"/>
          <w:szCs w:val="24"/>
        </w:rPr>
        <w:t xml:space="preserve"> напредък, така и между заявени стратегически намерения и реално постигнати резултати. Поради това, въпреки отчетения напредък, СЦР запазва своето предпоследно място от гледна точка икономическо развитие</w:t>
      </w:r>
      <w:r>
        <w:rPr>
          <w:rFonts w:ascii="Times New Roman" w:eastAsia="Calibri" w:hAnsi="Times New Roman" w:cs="Times New Roman"/>
          <w:sz w:val="24"/>
          <w:szCs w:val="24"/>
        </w:rPr>
        <w:t>,</w:t>
      </w:r>
      <w:r w:rsidRPr="000C7BE7">
        <w:rPr>
          <w:rFonts w:ascii="Times New Roman" w:eastAsia="Calibri" w:hAnsi="Times New Roman" w:cs="Times New Roman"/>
          <w:sz w:val="24"/>
          <w:szCs w:val="24"/>
        </w:rPr>
        <w:t xml:space="preserve"> като изостава както от националното, така и от европейското ниво. Запазва се проблемът с въ</w:t>
      </w:r>
      <w:r>
        <w:rPr>
          <w:rFonts w:ascii="Times New Roman" w:eastAsia="Calibri" w:hAnsi="Times New Roman" w:cs="Times New Roman"/>
          <w:sz w:val="24"/>
          <w:szCs w:val="24"/>
        </w:rPr>
        <w:t>трешнорегионалните диспаритети.</w:t>
      </w:r>
    </w:p>
    <w:p w:rsidR="00403AD9" w:rsidRDefault="00403AD9" w:rsidP="00403AD9">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t>Г</w:t>
      </w:r>
      <w:r w:rsidRPr="00C21ECD">
        <w:rPr>
          <w:rFonts w:ascii="Times New Roman" w:eastAsia="Calibri" w:hAnsi="Times New Roman" w:cs="Times New Roman"/>
          <w:sz w:val="24"/>
          <w:szCs w:val="24"/>
        </w:rPr>
        <w:t xml:space="preserve">олемият туристически потенциал остава нереализиран за целия период, за което недвусмислено „говорят“ регистрираните икономически и количествени данни. Направено е много </w:t>
      </w:r>
      <w:r>
        <w:rPr>
          <w:rFonts w:ascii="Times New Roman" w:eastAsia="Calibri" w:hAnsi="Times New Roman" w:cs="Times New Roman"/>
          <w:sz w:val="24"/>
          <w:szCs w:val="24"/>
        </w:rPr>
        <w:t>за</w:t>
      </w:r>
      <w:r w:rsidRPr="00C21ECD">
        <w:rPr>
          <w:rFonts w:ascii="Times New Roman" w:eastAsia="Calibri" w:hAnsi="Times New Roman" w:cs="Times New Roman"/>
          <w:sz w:val="24"/>
          <w:szCs w:val="24"/>
        </w:rPr>
        <w:t xml:space="preserve"> подобряване на състоянието на ключови туристически обекти, но </w:t>
      </w:r>
      <w:r w:rsidRPr="00C21ECD">
        <w:rPr>
          <w:rFonts w:ascii="Times New Roman" w:eastAsia="Calibri" w:hAnsi="Times New Roman" w:cs="Times New Roman"/>
          <w:sz w:val="24"/>
          <w:szCs w:val="24"/>
        </w:rPr>
        <w:lastRenderedPageBreak/>
        <w:t>същите остават без нужната им пазарна „капитализация“, тъй като няма разработени регионални туристически продукти, к</w:t>
      </w:r>
      <w:r>
        <w:rPr>
          <w:rFonts w:ascii="Times New Roman" w:eastAsia="Calibri" w:hAnsi="Times New Roman" w:cs="Times New Roman"/>
          <w:sz w:val="24"/>
          <w:szCs w:val="24"/>
        </w:rPr>
        <w:t>оито да се предлагат на пазара.</w:t>
      </w:r>
    </w:p>
    <w:p w:rsidR="00403AD9" w:rsidRPr="003C39B7" w:rsidRDefault="00403AD9" w:rsidP="00403AD9">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3C39B7">
        <w:rPr>
          <w:rFonts w:ascii="Times New Roman" w:eastAsia="Calibri" w:hAnsi="Times New Roman" w:cs="Times New Roman"/>
          <w:sz w:val="24"/>
          <w:szCs w:val="24"/>
        </w:rPr>
        <w:t>Развитието на икономиката на района през изминалия програмен период недвусмислено показа, че аграрният сектор, и въобще агробизнесът, са изключително жизнеспособни. Създадената база, наличните и утвърдени инструменти за развитие, нуждите и пазарните реалности показват, че сектора следва да се третира и развива приоритетно, след преосмисляне на политиката в това отношение и нейното прецизно фокусиране върху два основни компонента: повишаване на заетостта в сектора и постигането на по-висока добавена стойност на генерираната продукция.</w:t>
      </w:r>
    </w:p>
    <w:p w:rsidR="00403AD9" w:rsidRPr="00603044" w:rsidRDefault="00403AD9" w:rsidP="00403AD9">
      <w:pPr>
        <w:spacing w:before="120" w:after="120" w:line="360" w:lineRule="auto"/>
        <w:ind w:firstLine="709"/>
        <w:rPr>
          <w:rFonts w:ascii="Times New Roman" w:eastAsia="Calibri" w:hAnsi="Times New Roman" w:cs="Times New Roman"/>
          <w:b/>
          <w:sz w:val="24"/>
          <w:szCs w:val="28"/>
          <w:lang w:eastAsia="bg-BG"/>
        </w:rPr>
      </w:pPr>
      <w:r>
        <w:rPr>
          <w:rFonts w:ascii="Times New Roman" w:eastAsia="Calibri" w:hAnsi="Times New Roman" w:cs="Times New Roman"/>
          <w:b/>
          <w:sz w:val="24"/>
          <w:szCs w:val="28"/>
          <w:lang w:eastAsia="bg-BG"/>
        </w:rPr>
        <w:t xml:space="preserve">3.3. </w:t>
      </w:r>
      <w:r w:rsidRPr="00A55184">
        <w:rPr>
          <w:rFonts w:ascii="Times New Roman" w:eastAsia="Calibri" w:hAnsi="Times New Roman" w:cs="Times New Roman"/>
          <w:b/>
          <w:sz w:val="24"/>
          <w:szCs w:val="28"/>
          <w:lang w:eastAsia="bg-BG"/>
        </w:rPr>
        <w:t>Североизточен район</w:t>
      </w:r>
    </w:p>
    <w:p w:rsidR="00403AD9" w:rsidRPr="00AD0754" w:rsidRDefault="00403AD9" w:rsidP="00403AD9">
      <w:pPr>
        <w:spacing w:after="0" w:line="360" w:lineRule="auto"/>
        <w:ind w:firstLine="709"/>
        <w:jc w:val="both"/>
        <w:rPr>
          <w:rFonts w:ascii="Times New Roman" w:eastAsia="Calibri" w:hAnsi="Times New Roman" w:cs="Times New Roman"/>
          <w:sz w:val="24"/>
          <w:szCs w:val="24"/>
          <w:lang w:eastAsia="bg-BG"/>
        </w:rPr>
      </w:pPr>
      <w:r w:rsidRPr="00D373C3">
        <w:rPr>
          <w:rFonts w:ascii="Times New Roman" w:eastAsia="Calibri" w:hAnsi="Times New Roman" w:cs="Times New Roman"/>
          <w:sz w:val="24"/>
          <w:szCs w:val="28"/>
          <w:lang w:eastAsia="bg-BG"/>
        </w:rPr>
        <w:t xml:space="preserve">За периода 2007-2013 г., Североизточен район следва общата тенденция на развитие в страната, в повечето случаи под средните показатели и без сериозни отклонения от </w:t>
      </w:r>
      <w:r>
        <w:rPr>
          <w:rFonts w:ascii="Times New Roman" w:eastAsia="Calibri" w:hAnsi="Times New Roman" w:cs="Times New Roman"/>
          <w:sz w:val="24"/>
          <w:szCs w:val="28"/>
          <w:lang w:eastAsia="bg-BG"/>
        </w:rPr>
        <w:t>тези</w:t>
      </w:r>
      <w:r w:rsidRPr="00D373C3">
        <w:rPr>
          <w:rFonts w:ascii="Times New Roman" w:eastAsia="Calibri" w:hAnsi="Times New Roman" w:cs="Times New Roman"/>
          <w:sz w:val="24"/>
          <w:szCs w:val="28"/>
          <w:lang w:eastAsia="bg-BG"/>
        </w:rPr>
        <w:t xml:space="preserve"> на останалите райони от ниво 2. </w:t>
      </w:r>
      <w:r w:rsidRPr="0073728A">
        <w:rPr>
          <w:rFonts w:ascii="Times New Roman" w:eastAsia="Calibri" w:hAnsi="Times New Roman" w:cs="Times New Roman"/>
          <w:sz w:val="24"/>
          <w:szCs w:val="24"/>
          <w:lang w:eastAsia="bg-BG"/>
        </w:rPr>
        <w:t xml:space="preserve">Добрата оценка за общото въздействие и за настъпилите промени в резултат на цялостното изпълнение на РПР СИР 2007-2013 г., </w:t>
      </w:r>
      <w:r>
        <w:rPr>
          <w:rFonts w:ascii="Times New Roman" w:eastAsia="Calibri" w:hAnsi="Times New Roman" w:cs="Times New Roman"/>
          <w:sz w:val="24"/>
          <w:szCs w:val="24"/>
          <w:lang w:eastAsia="bg-BG"/>
        </w:rPr>
        <w:t>направена</w:t>
      </w:r>
      <w:r w:rsidRPr="0073728A">
        <w:rPr>
          <w:rFonts w:ascii="Times New Roman" w:eastAsia="Calibri" w:hAnsi="Times New Roman" w:cs="Times New Roman"/>
          <w:sz w:val="24"/>
          <w:szCs w:val="24"/>
          <w:lang w:eastAsia="bg-BG"/>
        </w:rPr>
        <w:t xml:space="preserve"> въз основа на обективни фактори и данни, отразяващи субективни състояния, като удовлетвореност, подобрено качество на живот и т.н., показва, че изпълнението на целите на РПР в периода 2007-2013 г. е постигнато в степен, която не е максимално възможната, но е допринесла за смекчаване проявленията на световната ико</w:t>
      </w:r>
      <w:r>
        <w:rPr>
          <w:rFonts w:ascii="Times New Roman" w:eastAsia="Calibri" w:hAnsi="Times New Roman" w:cs="Times New Roman"/>
          <w:sz w:val="24"/>
          <w:szCs w:val="24"/>
          <w:lang w:eastAsia="bg-BG"/>
        </w:rPr>
        <w:t xml:space="preserve">номическа криза. </w:t>
      </w:r>
      <w:r w:rsidRPr="00AD0754">
        <w:rPr>
          <w:rFonts w:ascii="Times New Roman" w:eastAsia="Calibri" w:hAnsi="Times New Roman" w:cs="Times New Roman"/>
          <w:sz w:val="24"/>
          <w:szCs w:val="24"/>
          <w:lang w:eastAsia="bg-BG"/>
        </w:rPr>
        <w:t xml:space="preserve">Започналата през 2009 година негативна тенденция в макроикономическата ситуация на СИР, променя своя намаляващ тренд през 2013 г., когато ключовите показатели </w:t>
      </w:r>
      <w:r>
        <w:rPr>
          <w:rFonts w:ascii="Times New Roman" w:eastAsia="Calibri" w:hAnsi="Times New Roman" w:cs="Times New Roman"/>
          <w:sz w:val="24"/>
          <w:szCs w:val="24"/>
          <w:lang w:eastAsia="bg-BG"/>
        </w:rPr>
        <w:t>бележат слабо увеличение.</w:t>
      </w:r>
    </w:p>
    <w:p w:rsidR="00403AD9" w:rsidRPr="00224152" w:rsidRDefault="00403AD9" w:rsidP="00403AD9">
      <w:pPr>
        <w:spacing w:after="0" w:line="360"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ab/>
      </w:r>
      <w:r w:rsidRPr="00224152">
        <w:rPr>
          <w:rFonts w:ascii="Times New Roman" w:eastAsia="Calibri" w:hAnsi="Times New Roman" w:cs="Times New Roman"/>
          <w:sz w:val="24"/>
          <w:szCs w:val="24"/>
          <w:lang w:eastAsia="bg-BG"/>
        </w:rPr>
        <w:t>„</w:t>
      </w:r>
      <w:r>
        <w:rPr>
          <w:rFonts w:ascii="Times New Roman" w:eastAsia="Calibri" w:hAnsi="Times New Roman" w:cs="Times New Roman"/>
          <w:sz w:val="24"/>
          <w:szCs w:val="24"/>
          <w:lang w:eastAsia="bg-BG"/>
        </w:rPr>
        <w:t>Морската индустрия” се</w:t>
      </w:r>
      <w:r w:rsidRPr="00224152">
        <w:rPr>
          <w:rFonts w:ascii="Times New Roman" w:eastAsia="Calibri" w:hAnsi="Times New Roman" w:cs="Times New Roman"/>
          <w:sz w:val="24"/>
          <w:szCs w:val="24"/>
          <w:lang w:eastAsia="bg-BG"/>
        </w:rPr>
        <w:t xml:space="preserve"> развива </w:t>
      </w:r>
      <w:r>
        <w:rPr>
          <w:rFonts w:ascii="Times New Roman" w:eastAsia="Calibri" w:hAnsi="Times New Roman" w:cs="Times New Roman"/>
          <w:sz w:val="24"/>
          <w:szCs w:val="24"/>
          <w:lang w:eastAsia="bg-BG"/>
        </w:rPr>
        <w:t>о</w:t>
      </w:r>
      <w:r w:rsidRPr="00224152">
        <w:rPr>
          <w:rFonts w:ascii="Times New Roman" w:eastAsia="Calibri" w:hAnsi="Times New Roman" w:cs="Times New Roman"/>
          <w:sz w:val="24"/>
          <w:szCs w:val="24"/>
          <w:lang w:eastAsia="bg-BG"/>
        </w:rPr>
        <w:t>тносително добре</w:t>
      </w:r>
      <w:r>
        <w:rPr>
          <w:rFonts w:ascii="Times New Roman" w:eastAsia="Calibri" w:hAnsi="Times New Roman" w:cs="Times New Roman"/>
          <w:sz w:val="24"/>
          <w:szCs w:val="24"/>
          <w:lang w:eastAsia="bg-BG"/>
        </w:rPr>
        <w:t>,</w:t>
      </w:r>
      <w:r w:rsidRPr="00224152">
        <w:rPr>
          <w:rFonts w:ascii="Times New Roman" w:eastAsia="Calibri" w:hAnsi="Times New Roman" w:cs="Times New Roman"/>
          <w:sz w:val="24"/>
          <w:szCs w:val="24"/>
          <w:lang w:eastAsia="bg-BG"/>
        </w:rPr>
        <w:t xml:space="preserve"> като всички дейности в нея са взаимно обвързани и развитието на една от тях води до развитие и на другите и по този начин се формира клъстер.</w:t>
      </w:r>
    </w:p>
    <w:p w:rsidR="00403AD9" w:rsidRDefault="00403AD9" w:rsidP="00403AD9">
      <w:pPr>
        <w:spacing w:after="0" w:line="360"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ab/>
        <w:t>С</w:t>
      </w:r>
      <w:r w:rsidRPr="009175DB">
        <w:rPr>
          <w:rFonts w:ascii="Times New Roman" w:eastAsia="Calibri" w:hAnsi="Times New Roman" w:cs="Times New Roman"/>
          <w:sz w:val="24"/>
          <w:szCs w:val="24"/>
          <w:lang w:eastAsia="bg-BG"/>
        </w:rPr>
        <w:t xml:space="preserve">ериозен принос в икономиката на района дава </w:t>
      </w:r>
      <w:r>
        <w:rPr>
          <w:rFonts w:ascii="Times New Roman" w:eastAsia="Calibri" w:hAnsi="Times New Roman" w:cs="Times New Roman"/>
          <w:sz w:val="24"/>
          <w:szCs w:val="24"/>
          <w:lang w:eastAsia="bg-BG"/>
        </w:rPr>
        <w:t>т</w:t>
      </w:r>
      <w:r w:rsidRPr="009175DB">
        <w:rPr>
          <w:rFonts w:ascii="Times New Roman" w:eastAsia="Calibri" w:hAnsi="Times New Roman" w:cs="Times New Roman"/>
          <w:sz w:val="24"/>
          <w:szCs w:val="24"/>
          <w:lang w:eastAsia="bg-BG"/>
        </w:rPr>
        <w:t>уризмът, но все още се развива предимно по крайбрежието и въпреки че показва стъпки към разнообразяване на предлагането, близкият и по-далечен хинтерланд не са ангажирани достатъчно в туристическия продукт.</w:t>
      </w:r>
    </w:p>
    <w:p w:rsidR="00403AD9" w:rsidRDefault="00403AD9" w:rsidP="00403AD9">
      <w:pPr>
        <w:spacing w:after="0" w:line="360" w:lineRule="auto"/>
        <w:ind w:firstLine="709"/>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Незадоволително</w:t>
      </w:r>
      <w:r w:rsidRPr="009B2C7F">
        <w:rPr>
          <w:rFonts w:ascii="Times New Roman" w:eastAsia="Calibri" w:hAnsi="Times New Roman" w:cs="Times New Roman"/>
          <w:sz w:val="24"/>
          <w:szCs w:val="24"/>
          <w:lang w:eastAsia="bg-BG"/>
        </w:rPr>
        <w:t xml:space="preserve"> </w:t>
      </w:r>
      <w:r>
        <w:rPr>
          <w:rFonts w:ascii="Times New Roman" w:eastAsia="Calibri" w:hAnsi="Times New Roman" w:cs="Times New Roman"/>
          <w:sz w:val="24"/>
          <w:szCs w:val="24"/>
          <w:lang w:eastAsia="bg-BG"/>
        </w:rPr>
        <w:t>е</w:t>
      </w:r>
      <w:r w:rsidRPr="009B2C7F">
        <w:rPr>
          <w:rFonts w:ascii="Times New Roman" w:eastAsia="Calibri" w:hAnsi="Times New Roman" w:cs="Times New Roman"/>
          <w:sz w:val="24"/>
          <w:szCs w:val="24"/>
          <w:lang w:eastAsia="bg-BG"/>
        </w:rPr>
        <w:t xml:space="preserve"> </w:t>
      </w:r>
      <w:r>
        <w:rPr>
          <w:rFonts w:ascii="Times New Roman" w:eastAsia="Calibri" w:hAnsi="Times New Roman" w:cs="Times New Roman"/>
          <w:sz w:val="24"/>
          <w:szCs w:val="24"/>
          <w:lang w:eastAsia="bg-BG"/>
        </w:rPr>
        <w:t>нивото на разходи за</w:t>
      </w:r>
      <w:r w:rsidRPr="009B2C7F">
        <w:rPr>
          <w:rFonts w:ascii="Times New Roman" w:eastAsia="Calibri" w:hAnsi="Times New Roman" w:cs="Times New Roman"/>
          <w:sz w:val="24"/>
          <w:szCs w:val="24"/>
          <w:lang w:eastAsia="bg-BG"/>
        </w:rPr>
        <w:t xml:space="preserve"> внедряване на високотехнологични</w:t>
      </w:r>
      <w:r>
        <w:rPr>
          <w:rFonts w:ascii="Times New Roman" w:eastAsia="Calibri" w:hAnsi="Times New Roman" w:cs="Times New Roman"/>
          <w:sz w:val="24"/>
          <w:szCs w:val="24"/>
          <w:lang w:eastAsia="bg-BG"/>
        </w:rPr>
        <w:t xml:space="preserve"> производства</w:t>
      </w:r>
      <w:r w:rsidRPr="009B2C7F">
        <w:rPr>
          <w:rFonts w:ascii="Times New Roman" w:eastAsia="Calibri" w:hAnsi="Times New Roman" w:cs="Times New Roman"/>
          <w:sz w:val="24"/>
          <w:szCs w:val="24"/>
          <w:lang w:eastAsia="bg-BG"/>
        </w:rPr>
        <w:t xml:space="preserve"> </w:t>
      </w:r>
      <w:r>
        <w:rPr>
          <w:rFonts w:ascii="Times New Roman" w:eastAsia="Calibri" w:hAnsi="Times New Roman" w:cs="Times New Roman"/>
          <w:sz w:val="24"/>
          <w:szCs w:val="24"/>
          <w:lang w:eastAsia="bg-BG"/>
        </w:rPr>
        <w:t xml:space="preserve">и </w:t>
      </w:r>
      <w:r w:rsidRPr="009B2C7F">
        <w:rPr>
          <w:rFonts w:ascii="Times New Roman" w:eastAsia="Calibri" w:hAnsi="Times New Roman" w:cs="Times New Roman"/>
          <w:sz w:val="24"/>
          <w:szCs w:val="24"/>
          <w:lang w:eastAsia="bg-BG"/>
        </w:rPr>
        <w:t>НИРД</w:t>
      </w:r>
      <w:r>
        <w:rPr>
          <w:rFonts w:ascii="Times New Roman" w:eastAsia="Calibri" w:hAnsi="Times New Roman" w:cs="Times New Roman"/>
          <w:sz w:val="24"/>
          <w:szCs w:val="24"/>
          <w:lang w:eastAsia="bg-BG"/>
        </w:rPr>
        <w:t>.</w:t>
      </w:r>
    </w:p>
    <w:p w:rsidR="00403AD9" w:rsidRDefault="00403AD9" w:rsidP="00403AD9">
      <w:pPr>
        <w:spacing w:after="0" w:line="360" w:lineRule="auto"/>
        <w:ind w:firstLine="709"/>
        <w:jc w:val="both"/>
        <w:rPr>
          <w:rFonts w:ascii="Times New Roman" w:eastAsia="Calibri" w:hAnsi="Times New Roman" w:cs="Times New Roman"/>
          <w:sz w:val="24"/>
          <w:szCs w:val="24"/>
          <w:lang w:eastAsia="bg-BG"/>
        </w:rPr>
      </w:pPr>
      <w:r w:rsidRPr="00030470">
        <w:rPr>
          <w:rFonts w:ascii="Times New Roman" w:eastAsia="Calibri" w:hAnsi="Times New Roman" w:cs="Times New Roman"/>
          <w:sz w:val="24"/>
          <w:szCs w:val="24"/>
          <w:lang w:eastAsia="bg-BG"/>
        </w:rPr>
        <w:t>Коефициентът на заетост на лицата от 20 до 64 години – 59,9% през 2013 г., е все още далеч от постигането на националната цел за изпълнение на Страте</w:t>
      </w:r>
      <w:r>
        <w:rPr>
          <w:rFonts w:ascii="Times New Roman" w:eastAsia="Calibri" w:hAnsi="Times New Roman" w:cs="Times New Roman"/>
          <w:sz w:val="24"/>
          <w:szCs w:val="24"/>
          <w:lang w:eastAsia="bg-BG"/>
        </w:rPr>
        <w:t>гия „Европа 2020” - 76% заетост.</w:t>
      </w:r>
    </w:p>
    <w:p w:rsidR="00403AD9" w:rsidRDefault="00403AD9" w:rsidP="00403AD9">
      <w:pPr>
        <w:spacing w:after="0" w:line="360" w:lineRule="auto"/>
        <w:ind w:firstLine="709"/>
        <w:jc w:val="both"/>
        <w:rPr>
          <w:rFonts w:ascii="Times New Roman" w:eastAsia="Calibri" w:hAnsi="Times New Roman" w:cs="Times New Roman"/>
          <w:sz w:val="24"/>
          <w:szCs w:val="24"/>
          <w:lang w:eastAsia="bg-BG"/>
        </w:rPr>
      </w:pPr>
      <w:r w:rsidRPr="00C73D6C">
        <w:rPr>
          <w:rFonts w:ascii="Times New Roman" w:eastAsia="Calibri" w:hAnsi="Times New Roman" w:cs="Times New Roman"/>
          <w:sz w:val="24"/>
          <w:szCs w:val="24"/>
          <w:lang w:eastAsia="bg-BG"/>
        </w:rPr>
        <w:lastRenderedPageBreak/>
        <w:t>Системата на здравеопазването и социалните услуги на района е сравнително добре развита и като цяло покрива нуждите от здравна и социална помощ. Проблем продължава да бъде осигуряването на равни възможности за достъп до здравнит</w:t>
      </w:r>
      <w:r>
        <w:rPr>
          <w:rFonts w:ascii="Times New Roman" w:eastAsia="Calibri" w:hAnsi="Times New Roman" w:cs="Times New Roman"/>
          <w:sz w:val="24"/>
          <w:szCs w:val="24"/>
          <w:lang w:eastAsia="bg-BG"/>
        </w:rPr>
        <w:t>е и социалните услуги на всички.</w:t>
      </w:r>
    </w:p>
    <w:p w:rsidR="00403AD9" w:rsidRDefault="00403AD9" w:rsidP="00403AD9">
      <w:pPr>
        <w:spacing w:after="0" w:line="360" w:lineRule="auto"/>
        <w:ind w:firstLine="709"/>
        <w:jc w:val="both"/>
        <w:rPr>
          <w:rFonts w:ascii="Times New Roman" w:eastAsia="Calibri" w:hAnsi="Times New Roman" w:cs="Times New Roman"/>
          <w:sz w:val="24"/>
          <w:szCs w:val="24"/>
          <w:lang w:eastAsia="bg-BG"/>
        </w:rPr>
      </w:pPr>
      <w:r w:rsidRPr="00F65955">
        <w:rPr>
          <w:rFonts w:ascii="Times New Roman" w:eastAsia="Calibri" w:hAnsi="Times New Roman" w:cs="Times New Roman"/>
          <w:sz w:val="24"/>
          <w:szCs w:val="24"/>
          <w:lang w:eastAsia="bg-BG"/>
        </w:rPr>
        <w:t xml:space="preserve">Пътната мрежа в района е добре развита, но на много места регионалната и особено общинската пътна мрежа </w:t>
      </w:r>
      <w:r w:rsidRPr="00F65955">
        <w:rPr>
          <w:rFonts w:ascii="Times New Roman" w:eastAsia="Calibri" w:hAnsi="Times New Roman" w:cs="Times New Roman"/>
          <w:sz w:val="24"/>
          <w:szCs w:val="24"/>
          <w:lang w:val="en-US" w:eastAsia="bg-BG"/>
        </w:rPr>
        <w:t>e</w:t>
      </w:r>
      <w:r w:rsidRPr="00F65955">
        <w:rPr>
          <w:rFonts w:ascii="Times New Roman" w:eastAsia="Calibri" w:hAnsi="Times New Roman" w:cs="Times New Roman"/>
          <w:sz w:val="24"/>
          <w:szCs w:val="24"/>
          <w:lang w:eastAsia="bg-BG"/>
        </w:rPr>
        <w:t xml:space="preserve"> с влошени </w:t>
      </w:r>
      <w:r>
        <w:rPr>
          <w:rFonts w:ascii="Times New Roman" w:eastAsia="Calibri" w:hAnsi="Times New Roman" w:cs="Times New Roman"/>
          <w:sz w:val="24"/>
          <w:szCs w:val="24"/>
          <w:lang w:eastAsia="bg-BG"/>
        </w:rPr>
        <w:t>експлоатационни качества.</w:t>
      </w:r>
    </w:p>
    <w:p w:rsidR="00403AD9" w:rsidRPr="00CA0644" w:rsidRDefault="00403AD9" w:rsidP="00403AD9">
      <w:pPr>
        <w:spacing w:after="0" w:line="360" w:lineRule="auto"/>
        <w:ind w:firstLine="709"/>
        <w:jc w:val="both"/>
        <w:rPr>
          <w:rFonts w:ascii="Times New Roman" w:eastAsia="Calibri" w:hAnsi="Times New Roman" w:cs="Times New Roman"/>
          <w:sz w:val="24"/>
          <w:szCs w:val="24"/>
          <w:lang w:eastAsia="bg-BG"/>
        </w:rPr>
      </w:pPr>
      <w:r w:rsidRPr="00CA0644">
        <w:rPr>
          <w:rFonts w:ascii="Times New Roman" w:eastAsia="Times New Roman" w:hAnsi="Times New Roman" w:cs="Times New Roman"/>
          <w:sz w:val="24"/>
          <w:szCs w:val="24"/>
          <w:lang w:eastAsia="bg-BG"/>
        </w:rPr>
        <w:t xml:space="preserve">Намаляването на вътрешно-регионалните различия в СИР се дължи по-скоро на влошаване  показателите на област Варна (основно определяща облика на района) и по-малко на подобряване на тези показатели в останалите области. Неравенствата в благосъстоянието и развитието, особено между областния град Варна и периферията на района се задълбочават, както и тези между областните центрове и съставните общини в рамките на самите области. </w:t>
      </w:r>
    </w:p>
    <w:p w:rsidR="00403AD9" w:rsidRDefault="00403AD9" w:rsidP="00403AD9">
      <w:pPr>
        <w:spacing w:before="120" w:after="120" w:line="360" w:lineRule="auto"/>
        <w:ind w:firstLine="709"/>
        <w:jc w:val="both"/>
        <w:rPr>
          <w:rFonts w:ascii="Times New Roman" w:eastAsia="Times New Roman" w:hAnsi="Times New Roman" w:cs="Times New Roman"/>
          <w:b/>
          <w:iCs/>
          <w:sz w:val="24"/>
          <w:szCs w:val="24"/>
          <w:lang w:eastAsia="bg-BG"/>
        </w:rPr>
      </w:pPr>
      <w:r>
        <w:rPr>
          <w:rFonts w:ascii="Times New Roman" w:eastAsia="Times New Roman" w:hAnsi="Times New Roman" w:cs="Times New Roman"/>
          <w:b/>
          <w:iCs/>
          <w:sz w:val="24"/>
          <w:szCs w:val="24"/>
          <w:lang w:eastAsia="bg-BG"/>
        </w:rPr>
        <w:t xml:space="preserve">3.4. </w:t>
      </w:r>
      <w:r w:rsidRPr="00693735">
        <w:rPr>
          <w:rFonts w:ascii="Times New Roman" w:eastAsia="Times New Roman" w:hAnsi="Times New Roman" w:cs="Times New Roman"/>
          <w:b/>
          <w:iCs/>
          <w:sz w:val="24"/>
          <w:szCs w:val="24"/>
          <w:lang w:eastAsia="bg-BG"/>
        </w:rPr>
        <w:t>Юго</w:t>
      </w:r>
      <w:r>
        <w:rPr>
          <w:rFonts w:ascii="Times New Roman" w:eastAsia="Times New Roman" w:hAnsi="Times New Roman" w:cs="Times New Roman"/>
          <w:b/>
          <w:iCs/>
          <w:sz w:val="24"/>
          <w:szCs w:val="24"/>
          <w:lang w:eastAsia="bg-BG"/>
        </w:rPr>
        <w:t>източен</w:t>
      </w:r>
      <w:r w:rsidRPr="00693735">
        <w:rPr>
          <w:rFonts w:ascii="Times New Roman" w:eastAsia="Times New Roman" w:hAnsi="Times New Roman" w:cs="Times New Roman"/>
          <w:b/>
          <w:iCs/>
          <w:sz w:val="24"/>
          <w:szCs w:val="24"/>
          <w:lang w:eastAsia="bg-BG"/>
        </w:rPr>
        <w:t xml:space="preserve"> район</w:t>
      </w:r>
    </w:p>
    <w:p w:rsidR="00403AD9" w:rsidRDefault="00403AD9" w:rsidP="00403AD9">
      <w:pPr>
        <w:spacing w:after="0" w:line="360" w:lineRule="auto"/>
        <w:ind w:firstLine="709"/>
        <w:jc w:val="both"/>
        <w:rPr>
          <w:rFonts w:ascii="Times New Roman" w:eastAsia="Times New Roman" w:hAnsi="Times New Roman" w:cs="Times New Roman"/>
          <w:iCs/>
          <w:sz w:val="24"/>
          <w:szCs w:val="24"/>
          <w:lang w:eastAsia="bg-BG"/>
        </w:rPr>
      </w:pPr>
      <w:r w:rsidRPr="00DE0BF3">
        <w:rPr>
          <w:rFonts w:ascii="Times New Roman" w:eastAsia="Times New Roman" w:hAnsi="Times New Roman" w:cs="Times New Roman"/>
          <w:iCs/>
          <w:sz w:val="24"/>
          <w:szCs w:val="24"/>
          <w:lang w:eastAsia="bg-BG"/>
        </w:rPr>
        <w:t xml:space="preserve">По показатели БДС и БВП се наблюдава тенденция към намаляване на различията между </w:t>
      </w:r>
      <w:r w:rsidRPr="00CB1CA9">
        <w:rPr>
          <w:rFonts w:ascii="Times New Roman" w:eastAsia="Times New Roman" w:hAnsi="Times New Roman" w:cs="Times New Roman"/>
          <w:iCs/>
          <w:sz w:val="24"/>
          <w:szCs w:val="24"/>
          <w:lang w:eastAsia="bg-BG"/>
        </w:rPr>
        <w:t>Югоизточен район</w:t>
      </w:r>
      <w:r>
        <w:rPr>
          <w:rFonts w:ascii="Times New Roman" w:eastAsia="Times New Roman" w:hAnsi="Times New Roman" w:cs="Times New Roman"/>
          <w:iCs/>
          <w:sz w:val="24"/>
          <w:szCs w:val="24"/>
          <w:lang w:eastAsia="bg-BG"/>
        </w:rPr>
        <w:t xml:space="preserve"> и останалите</w:t>
      </w:r>
      <w:r w:rsidRPr="00DE0BF3">
        <w:rPr>
          <w:rFonts w:ascii="Times New Roman" w:eastAsia="Times New Roman" w:hAnsi="Times New Roman" w:cs="Times New Roman"/>
          <w:iCs/>
          <w:sz w:val="24"/>
          <w:szCs w:val="24"/>
          <w:lang w:eastAsia="bg-BG"/>
        </w:rPr>
        <w:t xml:space="preserve"> райони</w:t>
      </w:r>
      <w:r>
        <w:rPr>
          <w:rFonts w:ascii="Times New Roman" w:eastAsia="Times New Roman" w:hAnsi="Times New Roman" w:cs="Times New Roman"/>
          <w:iCs/>
          <w:sz w:val="24"/>
          <w:szCs w:val="24"/>
          <w:lang w:eastAsia="bg-BG"/>
        </w:rPr>
        <w:t xml:space="preserve"> от ниво 2</w:t>
      </w:r>
      <w:r w:rsidRPr="00DE0BF3">
        <w:rPr>
          <w:rFonts w:ascii="Times New Roman" w:eastAsia="Times New Roman" w:hAnsi="Times New Roman" w:cs="Times New Roman"/>
          <w:iCs/>
          <w:sz w:val="24"/>
          <w:szCs w:val="24"/>
          <w:lang w:eastAsia="bg-BG"/>
        </w:rPr>
        <w:t>. ЮИР се нарежда на трето място в страната по БВП на човек от населението в началото на периода, а през 2012 г. вече се изравнява с ЮЦР по този показател с дял от 16% в общата стойност за страната.</w:t>
      </w:r>
    </w:p>
    <w:p w:rsidR="00403AD9" w:rsidRPr="00FB709B" w:rsidRDefault="00403AD9" w:rsidP="00403AD9">
      <w:pPr>
        <w:spacing w:after="0" w:line="360" w:lineRule="auto"/>
        <w:ind w:firstLine="709"/>
        <w:jc w:val="both"/>
        <w:rPr>
          <w:rFonts w:ascii="Times New Roman" w:eastAsia="Times New Roman" w:hAnsi="Times New Roman" w:cs="Times New Roman"/>
          <w:iCs/>
          <w:sz w:val="24"/>
          <w:szCs w:val="24"/>
          <w:lang w:eastAsia="bg-BG"/>
        </w:rPr>
      </w:pPr>
      <w:r w:rsidRPr="000A3B9E">
        <w:rPr>
          <w:rFonts w:ascii="Times New Roman" w:eastAsia="Times New Roman" w:hAnsi="Times New Roman" w:cs="Times New Roman"/>
          <w:iCs/>
          <w:sz w:val="24"/>
          <w:szCs w:val="24"/>
          <w:lang w:eastAsia="bg-BG"/>
        </w:rPr>
        <w:t>По отношение на вътрешно-регионалната конюнктура може да се обобщи, че съществуват значителни различия по почти всички показатели.</w:t>
      </w:r>
    </w:p>
    <w:p w:rsidR="00403AD9" w:rsidRPr="00C2538A" w:rsidRDefault="00403AD9" w:rsidP="00403AD9">
      <w:pPr>
        <w:spacing w:after="0" w:line="360" w:lineRule="auto"/>
        <w:ind w:firstLine="709"/>
        <w:jc w:val="both"/>
        <w:rPr>
          <w:rFonts w:ascii="Times New Roman" w:eastAsia="Times New Roman" w:hAnsi="Times New Roman" w:cs="Times New Roman"/>
          <w:iCs/>
          <w:sz w:val="24"/>
          <w:szCs w:val="24"/>
          <w:lang w:eastAsia="bg-BG"/>
        </w:rPr>
      </w:pPr>
      <w:r w:rsidRPr="00C2538A">
        <w:rPr>
          <w:rFonts w:ascii="Times New Roman" w:eastAsia="Times New Roman" w:hAnsi="Times New Roman" w:cs="Times New Roman"/>
          <w:iCs/>
          <w:sz w:val="24"/>
          <w:szCs w:val="24"/>
          <w:lang w:eastAsia="bg-BG"/>
        </w:rPr>
        <w:t>Наблюдават се негативни последствия върху МСП в резултат на финансовата и икономическа криза от 2008 г. Независимо от изпълнените мерки (основно по ОПРКБИ и ПРСР) предизвикателствата пред бизнеса все още остават значителни.</w:t>
      </w:r>
    </w:p>
    <w:p w:rsidR="00403AD9" w:rsidRPr="00C2538A" w:rsidRDefault="00403AD9" w:rsidP="00403AD9">
      <w:pPr>
        <w:spacing w:after="0" w:line="360" w:lineRule="auto"/>
        <w:ind w:firstLine="709"/>
        <w:jc w:val="both"/>
        <w:rPr>
          <w:rFonts w:ascii="Times New Roman" w:eastAsia="Times New Roman" w:hAnsi="Times New Roman" w:cs="Times New Roman"/>
          <w:iCs/>
          <w:sz w:val="24"/>
          <w:szCs w:val="24"/>
          <w:lang w:eastAsia="bg-BG"/>
        </w:rPr>
      </w:pPr>
      <w:r w:rsidRPr="00C2538A">
        <w:rPr>
          <w:rFonts w:ascii="Times New Roman" w:eastAsia="Times New Roman" w:hAnsi="Times New Roman" w:cs="Times New Roman"/>
          <w:iCs/>
          <w:sz w:val="24"/>
          <w:szCs w:val="24"/>
          <w:lang w:eastAsia="bg-BG"/>
        </w:rPr>
        <w:t>Туризмът е единственият сектор от местната икономика, който отчита ръст в показателите за наблюдение. Въпреки това все още остават предизвикателствата, свързани с качеството на обслужване и разнообразяване на туристическия продукт.</w:t>
      </w:r>
    </w:p>
    <w:p w:rsidR="00403AD9" w:rsidRPr="00C2538A" w:rsidRDefault="00403AD9" w:rsidP="00403AD9">
      <w:pPr>
        <w:spacing w:after="0" w:line="360" w:lineRule="auto"/>
        <w:ind w:firstLine="709"/>
        <w:jc w:val="both"/>
        <w:rPr>
          <w:rFonts w:ascii="Times New Roman" w:eastAsia="Times New Roman" w:hAnsi="Times New Roman" w:cs="Times New Roman"/>
          <w:iCs/>
          <w:sz w:val="24"/>
          <w:szCs w:val="24"/>
          <w:lang w:eastAsia="bg-BG"/>
        </w:rPr>
      </w:pPr>
      <w:r w:rsidRPr="00C2538A">
        <w:rPr>
          <w:rFonts w:ascii="Times New Roman" w:eastAsia="Times New Roman" w:hAnsi="Times New Roman" w:cs="Times New Roman"/>
          <w:iCs/>
          <w:sz w:val="24"/>
          <w:szCs w:val="24"/>
          <w:lang w:eastAsia="bg-BG"/>
        </w:rPr>
        <w:t>Въпреки отчетеното увеличение в дължината на РПМ, през 2013 г. ЮИР заема последно място сред шестте района от ниво 2 в страната по показателя ,,гъстота на РПМ”.</w:t>
      </w:r>
      <w:r>
        <w:rPr>
          <w:rFonts w:ascii="Times New Roman" w:eastAsia="Times New Roman" w:hAnsi="Times New Roman" w:cs="Times New Roman"/>
          <w:iCs/>
          <w:sz w:val="24"/>
          <w:szCs w:val="24"/>
          <w:lang w:eastAsia="bg-BG"/>
        </w:rPr>
        <w:t xml:space="preserve"> </w:t>
      </w:r>
      <w:r w:rsidRPr="00C2538A">
        <w:rPr>
          <w:rFonts w:ascii="Times New Roman" w:eastAsia="Times New Roman" w:hAnsi="Times New Roman" w:cs="Times New Roman"/>
          <w:iCs/>
          <w:sz w:val="24"/>
          <w:szCs w:val="24"/>
          <w:lang w:eastAsia="bg-BG"/>
        </w:rPr>
        <w:t>Все още не е модернизиран градския транспорт във всички по-големи общински центрове.Транспортната достъпност в периферията е затруднена.</w:t>
      </w:r>
    </w:p>
    <w:p w:rsidR="00403AD9" w:rsidRPr="00C2538A" w:rsidRDefault="00403AD9" w:rsidP="00403AD9">
      <w:pPr>
        <w:spacing w:after="0" w:line="360" w:lineRule="auto"/>
        <w:ind w:firstLine="709"/>
        <w:jc w:val="both"/>
        <w:rPr>
          <w:rFonts w:ascii="Times New Roman" w:eastAsia="Times New Roman" w:hAnsi="Times New Roman" w:cs="Times New Roman"/>
          <w:iCs/>
          <w:sz w:val="24"/>
          <w:szCs w:val="24"/>
          <w:lang w:eastAsia="bg-BG"/>
        </w:rPr>
      </w:pPr>
      <w:r w:rsidRPr="00C2538A">
        <w:rPr>
          <w:rFonts w:ascii="Times New Roman" w:eastAsia="Times New Roman" w:hAnsi="Times New Roman" w:cs="Times New Roman"/>
          <w:iCs/>
          <w:sz w:val="24"/>
          <w:szCs w:val="24"/>
          <w:lang w:eastAsia="bg-BG"/>
        </w:rPr>
        <w:t>Наблюдава се ръст в нивото на безработица и спад в равнището на заетост към края на изследвания период, което до голяма степен се дължи и на финансовата и икономическа криза от 2008 г.</w:t>
      </w:r>
      <w:r>
        <w:rPr>
          <w:rFonts w:ascii="Times New Roman" w:eastAsia="Times New Roman" w:hAnsi="Times New Roman" w:cs="Times New Roman"/>
          <w:iCs/>
          <w:sz w:val="24"/>
          <w:szCs w:val="24"/>
          <w:lang w:eastAsia="bg-BG"/>
        </w:rPr>
        <w:t xml:space="preserve"> </w:t>
      </w:r>
      <w:r w:rsidRPr="00C2538A">
        <w:rPr>
          <w:rFonts w:ascii="Times New Roman" w:eastAsia="Times New Roman" w:hAnsi="Times New Roman" w:cs="Times New Roman"/>
          <w:iCs/>
          <w:sz w:val="24"/>
          <w:szCs w:val="24"/>
          <w:lang w:eastAsia="bg-BG"/>
        </w:rPr>
        <w:t xml:space="preserve">Мерките за временна заетост до известна степен </w:t>
      </w:r>
      <w:r w:rsidRPr="00C2538A">
        <w:rPr>
          <w:rFonts w:ascii="Times New Roman" w:eastAsia="Times New Roman" w:hAnsi="Times New Roman" w:cs="Times New Roman"/>
          <w:iCs/>
          <w:sz w:val="24"/>
          <w:szCs w:val="24"/>
          <w:lang w:eastAsia="bg-BG"/>
        </w:rPr>
        <w:lastRenderedPageBreak/>
        <w:t>спомагат за преодоляването на проблема, но са неустойчиви след изтичане на периода на финансиране.</w:t>
      </w:r>
    </w:p>
    <w:p w:rsidR="00403AD9" w:rsidRPr="00C2538A" w:rsidRDefault="00403AD9" w:rsidP="00403AD9">
      <w:pPr>
        <w:spacing w:after="0" w:line="360" w:lineRule="auto"/>
        <w:ind w:firstLine="709"/>
        <w:jc w:val="both"/>
        <w:rPr>
          <w:rFonts w:ascii="Times New Roman" w:eastAsia="Times New Roman" w:hAnsi="Times New Roman" w:cs="Times New Roman"/>
          <w:iCs/>
          <w:sz w:val="24"/>
          <w:szCs w:val="24"/>
          <w:lang w:eastAsia="bg-BG"/>
        </w:rPr>
      </w:pPr>
      <w:r w:rsidRPr="00C2538A">
        <w:rPr>
          <w:rFonts w:ascii="Times New Roman" w:eastAsia="Times New Roman" w:hAnsi="Times New Roman" w:cs="Times New Roman"/>
          <w:iCs/>
          <w:sz w:val="24"/>
          <w:szCs w:val="24"/>
          <w:lang w:eastAsia="bg-BG"/>
        </w:rPr>
        <w:t>Наблюдават се положителни тенденции по отношение на НИРД и новите технологии спрямо началото на изследвания период. Въпреки това се отчита изоставане на областите Сливен и Ямбол в това отношение спрямо останалите две административни области на територията на ЮИР.</w:t>
      </w:r>
    </w:p>
    <w:p w:rsidR="00403AD9" w:rsidRPr="00C2538A" w:rsidRDefault="00403AD9" w:rsidP="00403AD9">
      <w:pPr>
        <w:spacing w:after="0" w:line="360" w:lineRule="auto"/>
        <w:ind w:firstLine="709"/>
        <w:jc w:val="both"/>
        <w:rPr>
          <w:rFonts w:ascii="Times New Roman" w:eastAsia="Times New Roman" w:hAnsi="Times New Roman" w:cs="Times New Roman"/>
          <w:iCs/>
          <w:sz w:val="24"/>
          <w:szCs w:val="24"/>
          <w:lang w:eastAsia="bg-BG"/>
        </w:rPr>
      </w:pPr>
      <w:r w:rsidRPr="00C2538A">
        <w:rPr>
          <w:rFonts w:ascii="Times New Roman" w:eastAsia="Times New Roman" w:hAnsi="Times New Roman" w:cs="Times New Roman"/>
          <w:iCs/>
          <w:sz w:val="24"/>
          <w:szCs w:val="24"/>
          <w:lang w:eastAsia="bg-BG"/>
        </w:rPr>
        <w:t>Изпълнените проекти за модернизиране на здравната инфраструктура не могат да допринесат ефективно за разрешаване проблема с качеството на здравеопазването. Като цяло ефектът от изпълнението на мерки в сектора се счита за отрицателен или без промяна.</w:t>
      </w:r>
    </w:p>
    <w:p w:rsidR="00403AD9" w:rsidRPr="00C2538A" w:rsidRDefault="00403AD9" w:rsidP="00403AD9">
      <w:pPr>
        <w:spacing w:after="0" w:line="360" w:lineRule="auto"/>
        <w:ind w:firstLine="709"/>
        <w:jc w:val="both"/>
        <w:rPr>
          <w:rFonts w:ascii="Times New Roman" w:eastAsia="Times New Roman" w:hAnsi="Times New Roman" w:cs="Times New Roman"/>
          <w:iCs/>
          <w:sz w:val="24"/>
          <w:szCs w:val="24"/>
          <w:lang w:eastAsia="bg-BG"/>
        </w:rPr>
      </w:pPr>
      <w:r w:rsidRPr="00C2538A">
        <w:rPr>
          <w:rFonts w:ascii="Times New Roman" w:eastAsia="Times New Roman" w:hAnsi="Times New Roman" w:cs="Times New Roman"/>
          <w:iCs/>
          <w:sz w:val="24"/>
          <w:szCs w:val="24"/>
          <w:lang w:eastAsia="bg-BG"/>
        </w:rPr>
        <w:t xml:space="preserve">Наблюдава се тенденция на увеличение в относителния дял на населението с висше образование и намаление на относителния дял на населението с </w:t>
      </w:r>
      <w:r>
        <w:rPr>
          <w:rFonts w:ascii="Times New Roman" w:eastAsia="Times New Roman" w:hAnsi="Times New Roman" w:cs="Times New Roman"/>
          <w:iCs/>
          <w:sz w:val="24"/>
          <w:szCs w:val="24"/>
          <w:lang w:eastAsia="bg-BG"/>
        </w:rPr>
        <w:t>основно и по-ниско образование.</w:t>
      </w:r>
    </w:p>
    <w:p w:rsidR="00403AD9" w:rsidRPr="00C2538A" w:rsidRDefault="00403AD9" w:rsidP="00403AD9">
      <w:pPr>
        <w:spacing w:after="0" w:line="360" w:lineRule="auto"/>
        <w:ind w:firstLine="709"/>
        <w:jc w:val="both"/>
        <w:rPr>
          <w:rFonts w:ascii="Times New Roman" w:eastAsia="Times New Roman" w:hAnsi="Times New Roman" w:cs="Times New Roman"/>
          <w:iCs/>
          <w:sz w:val="24"/>
          <w:szCs w:val="24"/>
          <w:lang w:eastAsia="bg-BG"/>
        </w:rPr>
      </w:pPr>
      <w:r w:rsidRPr="00C2538A">
        <w:rPr>
          <w:rFonts w:ascii="Times New Roman" w:eastAsia="Times New Roman" w:hAnsi="Times New Roman" w:cs="Times New Roman"/>
          <w:iCs/>
          <w:sz w:val="24"/>
          <w:szCs w:val="24"/>
          <w:lang w:eastAsia="bg-BG"/>
        </w:rPr>
        <w:t>Общата оценка на ефекта от мерките в сферата на социалните дейности е по-скоро положителна. Въпреки това остават редица неразрешени социални проблеми, в т.ч. слаба интеграция на малцинствата, засилена миграция на младото население и др.</w:t>
      </w:r>
    </w:p>
    <w:p w:rsidR="00403AD9" w:rsidRPr="00C04A32" w:rsidRDefault="00403AD9" w:rsidP="00403AD9">
      <w:pPr>
        <w:spacing w:before="120" w:after="120" w:line="360" w:lineRule="auto"/>
        <w:ind w:firstLine="709"/>
        <w:rPr>
          <w:rFonts w:ascii="Times New Roman" w:eastAsia="Times New Roman" w:hAnsi="Times New Roman" w:cs="Times New Roman"/>
          <w:b/>
          <w:iCs/>
          <w:sz w:val="24"/>
          <w:szCs w:val="24"/>
          <w:lang w:eastAsia="bg-BG"/>
        </w:rPr>
      </w:pPr>
      <w:r>
        <w:rPr>
          <w:rFonts w:ascii="Times New Roman" w:eastAsia="Times New Roman" w:hAnsi="Times New Roman" w:cs="Times New Roman"/>
          <w:b/>
          <w:iCs/>
          <w:sz w:val="24"/>
          <w:szCs w:val="24"/>
          <w:lang w:eastAsia="bg-BG"/>
        </w:rPr>
        <w:t>3.5. Югозападен район</w:t>
      </w:r>
    </w:p>
    <w:p w:rsidR="00403AD9" w:rsidRPr="001E03E1" w:rsidRDefault="00403AD9" w:rsidP="00403AD9">
      <w:pPr>
        <w:tabs>
          <w:tab w:val="left" w:pos="0"/>
          <w:tab w:val="left" w:pos="426"/>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През периода</w:t>
      </w:r>
      <w:r w:rsidRPr="001E03E1">
        <w:rPr>
          <w:rFonts w:ascii="Times New Roman" w:eastAsia="Times New Roman" w:hAnsi="Times New Roman" w:cs="Times New Roman"/>
          <w:iCs/>
          <w:sz w:val="24"/>
          <w:szCs w:val="24"/>
          <w:lang w:eastAsia="bg-BG"/>
        </w:rPr>
        <w:t xml:space="preserve"> 2007-2008 г. икономиката на Югозападен район се развива </w:t>
      </w:r>
      <w:r>
        <w:rPr>
          <w:rFonts w:ascii="Times New Roman" w:eastAsia="Times New Roman" w:hAnsi="Times New Roman" w:cs="Times New Roman"/>
          <w:iCs/>
          <w:sz w:val="24"/>
          <w:szCs w:val="24"/>
          <w:lang w:eastAsia="bg-BG"/>
        </w:rPr>
        <w:t xml:space="preserve">с </w:t>
      </w:r>
      <w:r w:rsidRPr="001E03E1">
        <w:rPr>
          <w:rFonts w:ascii="Times New Roman" w:eastAsia="Times New Roman" w:hAnsi="Times New Roman" w:cs="Times New Roman"/>
          <w:iCs/>
          <w:sz w:val="24"/>
          <w:szCs w:val="24"/>
          <w:lang w:eastAsia="bg-BG"/>
        </w:rPr>
        <w:t>темпове, по-бързи от средните за районите от ниво 2 в ЕС. Сравнен с останалите райони от ниво 2</w:t>
      </w:r>
      <w:r>
        <w:rPr>
          <w:rFonts w:ascii="Times New Roman" w:eastAsia="Times New Roman" w:hAnsi="Times New Roman" w:cs="Times New Roman"/>
          <w:iCs/>
          <w:sz w:val="24"/>
          <w:szCs w:val="24"/>
          <w:lang w:eastAsia="bg-BG"/>
        </w:rPr>
        <w:t xml:space="preserve"> в страната</w:t>
      </w:r>
      <w:r w:rsidRPr="001E03E1">
        <w:rPr>
          <w:rFonts w:ascii="Times New Roman" w:eastAsia="Times New Roman" w:hAnsi="Times New Roman" w:cs="Times New Roman"/>
          <w:iCs/>
          <w:sz w:val="24"/>
          <w:szCs w:val="24"/>
          <w:lang w:eastAsia="bg-BG"/>
        </w:rPr>
        <w:t>, ЮЗР заема водещо място по създаден БВП, привлечени ПЧИ и нетни приходи от продажби, реализирани от предприятията на територията на района. В резултат на глобалната икономическа криза, през 2009 г. започва процес на икономически спад за страната. В Ю</w:t>
      </w:r>
      <w:r>
        <w:rPr>
          <w:rFonts w:ascii="Times New Roman" w:eastAsia="Times New Roman" w:hAnsi="Times New Roman" w:cs="Times New Roman"/>
          <w:iCs/>
          <w:sz w:val="24"/>
          <w:szCs w:val="24"/>
          <w:lang w:eastAsia="bg-BG"/>
        </w:rPr>
        <w:t xml:space="preserve">ЗР </w:t>
      </w:r>
      <w:r w:rsidRPr="001E03E1">
        <w:rPr>
          <w:rFonts w:ascii="Times New Roman" w:eastAsia="Times New Roman" w:hAnsi="Times New Roman" w:cs="Times New Roman"/>
          <w:iCs/>
          <w:sz w:val="24"/>
          <w:szCs w:val="24"/>
          <w:lang w:eastAsia="bg-BG"/>
        </w:rPr>
        <w:t>ситуацията е по-малко негативна – растежът по почти всички основни икономически показатели се запазва, макар и с много по-нисък темп. През 2012-2013 г. се наблюдава постепенно стабилизиране на регионалната икономика и повишение на темповете</w:t>
      </w:r>
      <w:r>
        <w:rPr>
          <w:rFonts w:ascii="Times New Roman" w:eastAsia="Times New Roman" w:hAnsi="Times New Roman" w:cs="Times New Roman"/>
          <w:iCs/>
          <w:sz w:val="24"/>
          <w:szCs w:val="24"/>
          <w:lang w:eastAsia="bg-BG"/>
        </w:rPr>
        <w:t xml:space="preserve"> на растеж по някои показатели.</w:t>
      </w:r>
    </w:p>
    <w:p w:rsidR="00403AD9" w:rsidRDefault="00403AD9" w:rsidP="00403AD9">
      <w:pPr>
        <w:tabs>
          <w:tab w:val="left" w:pos="0"/>
          <w:tab w:val="left" w:pos="426"/>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iCs/>
          <w:sz w:val="24"/>
          <w:szCs w:val="24"/>
          <w:lang w:eastAsia="bg-BG"/>
        </w:rPr>
      </w:pPr>
      <w:r w:rsidRPr="001E03E1">
        <w:rPr>
          <w:rFonts w:ascii="Times New Roman" w:eastAsia="Times New Roman" w:hAnsi="Times New Roman" w:cs="Times New Roman"/>
          <w:iCs/>
          <w:sz w:val="24"/>
          <w:szCs w:val="24"/>
          <w:lang w:eastAsia="bg-BG"/>
        </w:rPr>
        <w:t>БВП на човек от населението в ЮЗР е значително по-висок от средния за страната. На вътрешнорегионално ниво се наблюдават значителни различия – най-големите сред останалите райони от ниво 2.</w:t>
      </w:r>
    </w:p>
    <w:p w:rsidR="00403AD9" w:rsidRDefault="00403AD9" w:rsidP="00403AD9">
      <w:pPr>
        <w:tabs>
          <w:tab w:val="left" w:pos="0"/>
          <w:tab w:val="left" w:pos="426"/>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Н</w:t>
      </w:r>
      <w:r w:rsidRPr="00F118BE">
        <w:rPr>
          <w:rFonts w:ascii="Times New Roman" w:eastAsia="Times New Roman" w:hAnsi="Times New Roman" w:cs="Times New Roman"/>
          <w:iCs/>
          <w:sz w:val="24"/>
          <w:szCs w:val="24"/>
          <w:lang w:eastAsia="bg-BG"/>
        </w:rPr>
        <w:t xml:space="preserve">аблюдава </w:t>
      </w:r>
      <w:r>
        <w:rPr>
          <w:rFonts w:ascii="Times New Roman" w:eastAsia="Times New Roman" w:hAnsi="Times New Roman" w:cs="Times New Roman"/>
          <w:iCs/>
          <w:sz w:val="24"/>
          <w:szCs w:val="24"/>
          <w:lang w:eastAsia="bg-BG"/>
        </w:rPr>
        <w:t xml:space="preserve">се </w:t>
      </w:r>
      <w:r w:rsidRPr="00F118BE">
        <w:rPr>
          <w:rFonts w:ascii="Times New Roman" w:eastAsia="Times New Roman" w:hAnsi="Times New Roman" w:cs="Times New Roman"/>
          <w:iCs/>
          <w:sz w:val="24"/>
          <w:szCs w:val="24"/>
          <w:lang w:eastAsia="bg-BG"/>
        </w:rPr>
        <w:t>задълбочаване</w:t>
      </w:r>
      <w:r>
        <w:rPr>
          <w:rFonts w:ascii="Times New Roman" w:eastAsia="Times New Roman" w:hAnsi="Times New Roman" w:cs="Times New Roman"/>
          <w:iCs/>
          <w:sz w:val="24"/>
          <w:szCs w:val="24"/>
          <w:lang w:eastAsia="bg-BG"/>
        </w:rPr>
        <w:t xml:space="preserve"> на демографските проблеми и</w:t>
      </w:r>
      <w:r w:rsidRPr="005F3AA9">
        <w:rPr>
          <w:rFonts w:ascii="Times New Roman" w:eastAsia="Times New Roman" w:hAnsi="Times New Roman" w:cs="Times New Roman"/>
          <w:iCs/>
          <w:sz w:val="24"/>
          <w:szCs w:val="24"/>
          <w:lang w:eastAsia="bg-BG"/>
        </w:rPr>
        <w:t xml:space="preserve"> диспропорциите в териториалното разпределение на населението в Ю</w:t>
      </w:r>
      <w:r>
        <w:rPr>
          <w:rFonts w:ascii="Times New Roman" w:eastAsia="Times New Roman" w:hAnsi="Times New Roman" w:cs="Times New Roman"/>
          <w:iCs/>
          <w:sz w:val="24"/>
          <w:szCs w:val="24"/>
          <w:lang w:eastAsia="bg-BG"/>
        </w:rPr>
        <w:t>ЗР</w:t>
      </w:r>
      <w:r w:rsidRPr="005F3AA9">
        <w:rPr>
          <w:rFonts w:ascii="Times New Roman" w:eastAsia="Times New Roman" w:hAnsi="Times New Roman" w:cs="Times New Roman"/>
          <w:iCs/>
          <w:sz w:val="24"/>
          <w:szCs w:val="24"/>
          <w:lang w:eastAsia="bg-BG"/>
        </w:rPr>
        <w:t xml:space="preserve">. Въпреки това, </w:t>
      </w:r>
      <w:r w:rsidRPr="006A5384">
        <w:rPr>
          <w:rFonts w:ascii="Times New Roman" w:eastAsia="Times New Roman" w:hAnsi="Times New Roman" w:cs="Times New Roman"/>
          <w:iCs/>
          <w:sz w:val="24"/>
          <w:szCs w:val="24"/>
          <w:lang w:eastAsia="bg-BG"/>
        </w:rPr>
        <w:t>показателите за социално и демографско развитие на района,</w:t>
      </w:r>
      <w:r w:rsidRPr="005F3AA9">
        <w:rPr>
          <w:rFonts w:ascii="Times New Roman" w:eastAsia="Times New Roman" w:hAnsi="Times New Roman" w:cs="Times New Roman"/>
          <w:iCs/>
          <w:sz w:val="24"/>
          <w:szCs w:val="24"/>
          <w:lang w:eastAsia="bg-BG"/>
        </w:rPr>
        <w:t xml:space="preserve"> разглеждан като цяло, се запазват в сравнително по-благоприятна позиция спрямо останалите райони от ниво 2, поради по-</w:t>
      </w:r>
      <w:r w:rsidRPr="005F3AA9">
        <w:rPr>
          <w:rFonts w:ascii="Times New Roman" w:eastAsia="Times New Roman" w:hAnsi="Times New Roman" w:cs="Times New Roman"/>
          <w:iCs/>
          <w:sz w:val="24"/>
          <w:szCs w:val="24"/>
          <w:lang w:eastAsia="bg-BG"/>
        </w:rPr>
        <w:lastRenderedPageBreak/>
        <w:t>големите възможности за заетост в столицата, което от своя страна привлича по-голям контингент младо население от други части на страната</w:t>
      </w:r>
      <w:r>
        <w:rPr>
          <w:rFonts w:ascii="Times New Roman" w:eastAsia="Times New Roman" w:hAnsi="Times New Roman" w:cs="Times New Roman"/>
          <w:iCs/>
          <w:sz w:val="24"/>
          <w:szCs w:val="24"/>
          <w:lang w:eastAsia="bg-BG"/>
        </w:rPr>
        <w:t>.</w:t>
      </w:r>
    </w:p>
    <w:p w:rsidR="00403AD9" w:rsidRDefault="00403AD9" w:rsidP="00403AD9">
      <w:pPr>
        <w:tabs>
          <w:tab w:val="left" w:pos="0"/>
          <w:tab w:val="left" w:pos="426"/>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iCs/>
          <w:sz w:val="24"/>
          <w:szCs w:val="24"/>
          <w:lang w:eastAsia="bg-BG"/>
        </w:rPr>
      </w:pPr>
      <w:r w:rsidRPr="006A5384">
        <w:rPr>
          <w:rFonts w:ascii="Times New Roman" w:eastAsia="Times New Roman" w:hAnsi="Times New Roman" w:cs="Times New Roman"/>
          <w:iCs/>
          <w:sz w:val="24"/>
          <w:szCs w:val="24"/>
          <w:lang w:eastAsia="bg-BG"/>
        </w:rPr>
        <w:t>Коефициентът на заетост на лицата на възраст 20-64 г. в ЮЗР през периода 2008-2013 г. е най-висок сред районите от ниво 2, но се наблюдава постоянна тенденция на намаление - с 8,3%. Въпреки това обаче коефициентът на заетост в ЮЗР за 2013 г. е по-висок от средния за ЕС-28 за същата година – 68,4%.</w:t>
      </w:r>
    </w:p>
    <w:p w:rsidR="00403AD9" w:rsidRPr="001B0EBC" w:rsidRDefault="00403AD9" w:rsidP="00403AD9">
      <w:pPr>
        <w:tabs>
          <w:tab w:val="left" w:pos="0"/>
          <w:tab w:val="left" w:pos="426"/>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iCs/>
          <w:sz w:val="24"/>
          <w:szCs w:val="24"/>
          <w:lang w:eastAsia="bg-BG"/>
        </w:rPr>
      </w:pPr>
      <w:r w:rsidRPr="001B0EBC">
        <w:rPr>
          <w:rFonts w:ascii="Times New Roman" w:eastAsia="Times New Roman" w:hAnsi="Times New Roman" w:cs="Times New Roman"/>
          <w:iCs/>
          <w:sz w:val="24"/>
          <w:szCs w:val="24"/>
          <w:lang w:eastAsia="bg-BG"/>
        </w:rPr>
        <w:t xml:space="preserve">Въпреки първенството на ЮЗР, при голяма част от показателите (БВП, БДС, ПЧИ, приходи от нощувки, заетост, дял на населението, обслужено от водоснабдителна и канализационна инфраструктура, от инфраструктура за пречистване на отпадъчни води, от система за организирано сметосъбиране) се наблюдава тенденция на намаление дела на района за сметка на увеличение на дела на други райони от ниво 2, което свидетелства за намаляване на междурегионалните различия в страната. </w:t>
      </w:r>
    </w:p>
    <w:p w:rsidR="00403AD9" w:rsidRPr="001E03E1" w:rsidRDefault="00403AD9" w:rsidP="00403AD9">
      <w:pPr>
        <w:tabs>
          <w:tab w:val="left" w:pos="0"/>
          <w:tab w:val="left" w:pos="426"/>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iCs/>
          <w:sz w:val="24"/>
          <w:szCs w:val="24"/>
          <w:lang w:eastAsia="bg-BG"/>
        </w:rPr>
      </w:pPr>
      <w:r w:rsidRPr="001B0EBC">
        <w:rPr>
          <w:rFonts w:ascii="Times New Roman" w:eastAsia="Times New Roman" w:hAnsi="Times New Roman" w:cs="Times New Roman"/>
          <w:iCs/>
          <w:sz w:val="24"/>
          <w:szCs w:val="24"/>
          <w:lang w:eastAsia="bg-BG"/>
        </w:rPr>
        <w:t>Все още се откроява силното предимство на област София по отношение на степента на безработица (където коефициентът е най-нисък), по отношение на произведен БВП и БДС, по извършените разходи за НИРД и др.</w:t>
      </w:r>
    </w:p>
    <w:p w:rsidR="00403AD9" w:rsidRPr="004B73E1" w:rsidRDefault="00403AD9" w:rsidP="00403AD9">
      <w:pPr>
        <w:tabs>
          <w:tab w:val="left" w:pos="0"/>
          <w:tab w:val="left" w:pos="426"/>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iCs/>
          <w:sz w:val="24"/>
          <w:szCs w:val="24"/>
          <w:lang w:eastAsia="bg-BG"/>
        </w:rPr>
      </w:pPr>
      <w:r w:rsidRPr="00982C18">
        <w:rPr>
          <w:rFonts w:ascii="Times New Roman" w:eastAsia="Times New Roman" w:hAnsi="Times New Roman" w:cs="Times New Roman"/>
          <w:iCs/>
          <w:sz w:val="24"/>
          <w:szCs w:val="24"/>
          <w:lang w:eastAsia="bg-BG"/>
        </w:rPr>
        <w:t xml:space="preserve">Обобщената оценка за степен на изпълнение на целите и приоритетите на РПР на ЮЗР е висока, като се базира на степента на изпълнение на отделните приоритети. </w:t>
      </w:r>
    </w:p>
    <w:p w:rsidR="00403AD9" w:rsidRPr="007A3782" w:rsidRDefault="00403AD9" w:rsidP="00403AD9">
      <w:pPr>
        <w:spacing w:before="120" w:after="120" w:line="360" w:lineRule="auto"/>
        <w:ind w:firstLine="709"/>
        <w:jc w:val="both"/>
        <w:rPr>
          <w:rFonts w:ascii="Times New Roman" w:eastAsia="Times New Roman" w:hAnsi="Times New Roman" w:cs="Times New Roman"/>
          <w:iCs/>
          <w:sz w:val="24"/>
          <w:szCs w:val="24"/>
          <w:lang w:eastAsia="bg-BG"/>
        </w:rPr>
      </w:pPr>
      <w:r w:rsidRPr="007A3782">
        <w:rPr>
          <w:rFonts w:ascii="Times New Roman" w:eastAsia="Times New Roman" w:hAnsi="Times New Roman" w:cs="Times New Roman"/>
          <w:b/>
          <w:iCs/>
          <w:sz w:val="24"/>
          <w:szCs w:val="24"/>
          <w:lang w:eastAsia="bg-BG"/>
        </w:rPr>
        <w:t>3.6. Южен централен район</w:t>
      </w:r>
    </w:p>
    <w:p w:rsidR="00403AD9" w:rsidRPr="007A3782" w:rsidRDefault="00403AD9" w:rsidP="00403AD9">
      <w:pPr>
        <w:spacing w:after="0" w:line="360" w:lineRule="auto"/>
        <w:ind w:firstLine="709"/>
        <w:jc w:val="both"/>
        <w:rPr>
          <w:rFonts w:ascii="Times New Roman" w:eastAsia="Times New Roman" w:hAnsi="Times New Roman" w:cs="Times New Roman"/>
          <w:iCs/>
          <w:sz w:val="24"/>
          <w:szCs w:val="24"/>
          <w:lang w:eastAsia="bg-BG"/>
        </w:rPr>
      </w:pPr>
      <w:r w:rsidRPr="007A3782">
        <w:rPr>
          <w:rFonts w:ascii="Times New Roman" w:eastAsia="Times New Roman" w:hAnsi="Times New Roman" w:cs="Times New Roman"/>
          <w:iCs/>
          <w:sz w:val="24"/>
          <w:szCs w:val="24"/>
          <w:lang w:eastAsia="bg-BG"/>
        </w:rPr>
        <w:t>В ЮЦР се наблюдава положително въздействие по отношение на подобряване на средата за живот, изразено в по-добра инфраструктура – градска среда, ВиК, пътища, сметосъбиране. Не се забелязва въздействие по отношение на икономическото развитие, а безработицата и бедността нарастват.</w:t>
      </w:r>
    </w:p>
    <w:p w:rsidR="00403AD9" w:rsidRPr="007A3782" w:rsidRDefault="00403AD9" w:rsidP="00403AD9">
      <w:pPr>
        <w:spacing w:after="0" w:line="360" w:lineRule="auto"/>
        <w:ind w:firstLine="709"/>
        <w:jc w:val="both"/>
        <w:rPr>
          <w:rFonts w:ascii="Times New Roman" w:eastAsia="Times New Roman" w:hAnsi="Times New Roman" w:cs="Times New Roman"/>
          <w:iCs/>
          <w:sz w:val="24"/>
          <w:szCs w:val="24"/>
          <w:lang w:eastAsia="bg-BG"/>
        </w:rPr>
      </w:pPr>
      <w:r w:rsidRPr="007A3782">
        <w:rPr>
          <w:rFonts w:ascii="Times New Roman" w:eastAsia="Times New Roman" w:hAnsi="Times New Roman" w:cs="Times New Roman"/>
          <w:iCs/>
          <w:sz w:val="24"/>
          <w:szCs w:val="24"/>
          <w:lang w:eastAsia="bg-BG"/>
        </w:rPr>
        <w:t xml:space="preserve">Наблюдава се положителна тенденция при разходите за НИРД и заетите в тази сфера, но постигнатото е далеч под планираното.  По показателя ,,Дял на населението на възраст 24-65 г. с висше образование” ЮЦР се нарежда на последно място в страната. </w:t>
      </w:r>
    </w:p>
    <w:p w:rsidR="00403AD9" w:rsidRPr="007A3782" w:rsidRDefault="00403AD9" w:rsidP="00403AD9">
      <w:pPr>
        <w:spacing w:after="0" w:line="360" w:lineRule="auto"/>
        <w:ind w:firstLine="709"/>
        <w:jc w:val="both"/>
        <w:rPr>
          <w:rFonts w:ascii="Times New Roman" w:eastAsia="Times New Roman" w:hAnsi="Times New Roman" w:cs="Times New Roman"/>
          <w:iCs/>
          <w:sz w:val="24"/>
          <w:szCs w:val="24"/>
          <w:lang w:eastAsia="bg-BG"/>
        </w:rPr>
      </w:pPr>
      <w:r w:rsidRPr="007A3782">
        <w:rPr>
          <w:rFonts w:ascii="Times New Roman" w:eastAsia="Times New Roman" w:hAnsi="Times New Roman" w:cs="Times New Roman"/>
          <w:iCs/>
          <w:sz w:val="24"/>
          <w:szCs w:val="24"/>
          <w:lang w:eastAsia="bg-BG"/>
        </w:rPr>
        <w:t>Наблюдава се положителна тенденция в развитието на туризма. Повишаването на приходите от нощувки е показател на засиления туристически интерес към района. Териториалните диспропорции, обаче, са индикация за еднопосочното развитие на сектора – главно сезонен зимен ски туризъм.</w:t>
      </w:r>
    </w:p>
    <w:p w:rsidR="00403AD9" w:rsidRPr="007A3782" w:rsidRDefault="00403AD9" w:rsidP="00403AD9">
      <w:pPr>
        <w:spacing w:after="0" w:line="360" w:lineRule="auto"/>
        <w:ind w:firstLine="709"/>
        <w:jc w:val="both"/>
        <w:rPr>
          <w:rFonts w:ascii="Times New Roman" w:eastAsia="Times New Roman" w:hAnsi="Times New Roman" w:cs="Times New Roman"/>
          <w:iCs/>
          <w:sz w:val="24"/>
          <w:szCs w:val="24"/>
          <w:lang w:eastAsia="bg-BG"/>
        </w:rPr>
      </w:pPr>
      <w:r w:rsidRPr="007A3782">
        <w:rPr>
          <w:rFonts w:ascii="Times New Roman" w:eastAsia="Times New Roman" w:hAnsi="Times New Roman" w:cs="Times New Roman"/>
          <w:iCs/>
          <w:sz w:val="24"/>
          <w:szCs w:val="24"/>
          <w:lang w:eastAsia="bg-BG"/>
        </w:rPr>
        <w:t>Състоянието и динамиката на ключовите показатели на</w:t>
      </w:r>
      <w:r w:rsidRPr="007A3782">
        <w:rPr>
          <w:rFonts w:ascii="Times New Roman" w:eastAsia="Times New Roman" w:hAnsi="Times New Roman" w:cs="Times New Roman"/>
          <w:b/>
          <w:iCs/>
          <w:sz w:val="24"/>
          <w:szCs w:val="24"/>
          <w:lang w:eastAsia="bg-BG"/>
        </w:rPr>
        <w:t xml:space="preserve"> </w:t>
      </w:r>
      <w:r w:rsidRPr="007A3782">
        <w:rPr>
          <w:rFonts w:ascii="Times New Roman" w:eastAsia="Times New Roman" w:hAnsi="Times New Roman" w:cs="Times New Roman"/>
          <w:iCs/>
          <w:sz w:val="24"/>
          <w:szCs w:val="24"/>
          <w:lang w:eastAsia="bg-BG"/>
        </w:rPr>
        <w:t xml:space="preserve">пазара на труда показват, че в ЮЦР те са с по-лоши характеристики в сравнение със средноевропейските нива, като за оценявания период тези характеристики не се подобряват. Протичащите общи отрицателни процеси в резултат от глобалната </w:t>
      </w:r>
      <w:r w:rsidRPr="007A3782">
        <w:rPr>
          <w:rFonts w:ascii="Times New Roman" w:eastAsia="Times New Roman" w:hAnsi="Times New Roman" w:cs="Times New Roman"/>
          <w:iCs/>
          <w:sz w:val="24"/>
          <w:szCs w:val="24"/>
          <w:lang w:eastAsia="bg-BG"/>
        </w:rPr>
        <w:lastRenderedPageBreak/>
        <w:t>икономическа и финансова криза допълнително отдалечават България и в частност ЮЦР от равнищата на заетост,  безработица и икономическа активност в ЕС.</w:t>
      </w:r>
    </w:p>
    <w:p w:rsidR="00403AD9" w:rsidRPr="007A3782" w:rsidRDefault="00403AD9" w:rsidP="00403AD9">
      <w:pPr>
        <w:spacing w:after="0" w:line="360" w:lineRule="auto"/>
        <w:ind w:firstLine="709"/>
        <w:jc w:val="both"/>
        <w:rPr>
          <w:rFonts w:ascii="Times New Roman" w:eastAsia="Times New Roman" w:hAnsi="Times New Roman" w:cs="Times New Roman"/>
          <w:iCs/>
          <w:sz w:val="24"/>
          <w:szCs w:val="24"/>
          <w:lang w:eastAsia="bg-BG"/>
        </w:rPr>
      </w:pPr>
      <w:r w:rsidRPr="007A3782">
        <w:rPr>
          <w:rFonts w:ascii="Times New Roman" w:eastAsia="Times New Roman" w:hAnsi="Times New Roman" w:cs="Times New Roman"/>
          <w:iCs/>
          <w:sz w:val="24"/>
          <w:szCs w:val="24"/>
          <w:lang w:eastAsia="bg-BG"/>
        </w:rPr>
        <w:t xml:space="preserve">Наблюдава се стабилен напредък при удвояване и електрификация на ж.п. линии и изграждане на екологична инфраструктура (сметища и ПСОВ).  Делът на населението, обслужвано от организирано сметосъбиране във всички области на ЮЦР трайно нараства. Налице са много ниски междурегионални различия по стойността на показателя. Намаляване на вътрешнорегионалните различия се регистрира и по отношение на дела на обслуженото население от ПСОВ. </w:t>
      </w:r>
    </w:p>
    <w:p w:rsidR="00403AD9" w:rsidRDefault="00403AD9" w:rsidP="00403AD9">
      <w:pPr>
        <w:spacing w:after="0" w:line="360" w:lineRule="auto"/>
        <w:ind w:firstLine="709"/>
        <w:jc w:val="both"/>
        <w:rPr>
          <w:rFonts w:ascii="Times New Roman" w:eastAsia="Times New Roman" w:hAnsi="Times New Roman" w:cs="Times New Roman"/>
          <w:iCs/>
          <w:sz w:val="24"/>
          <w:szCs w:val="24"/>
          <w:lang w:eastAsia="bg-BG"/>
        </w:rPr>
      </w:pPr>
      <w:r w:rsidRPr="007A3782">
        <w:rPr>
          <w:rFonts w:ascii="Times New Roman" w:eastAsia="Times New Roman" w:hAnsi="Times New Roman" w:cs="Times New Roman"/>
          <w:iCs/>
          <w:sz w:val="24"/>
          <w:szCs w:val="24"/>
          <w:lang w:eastAsia="bg-BG"/>
        </w:rPr>
        <w:t>Районът остава на първо място по производство на енергия от ВЕИ, като около 90% от тази енергия е от водни източници (ВЕЦ и ПАВЕЦ). Както за страната, така и в ЮЦР се наблюдава увеличаване на застроените мощности за производство на енергия от ВЕИ. В последните години се установява тенденция на увеличаване на дела от енергията, произведена от слънчева енергия и биомаса. В това отношение страната и районът са превишили целевата стойност от 16% дял на ВЕИ от крайното енергийно потребление.</w:t>
      </w:r>
    </w:p>
    <w:p w:rsidR="00403AD9" w:rsidRDefault="002941E4" w:rsidP="00403AD9">
      <w:pPr>
        <w:autoSpaceDE w:val="0"/>
        <w:autoSpaceDN w:val="0"/>
        <w:adjustRightInd w:val="0"/>
        <w:spacing w:before="120" w:after="0" w:line="360" w:lineRule="auto"/>
        <w:ind w:firstLine="709"/>
        <w:jc w:val="both"/>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Като обобщен извод от п</w:t>
      </w:r>
      <w:r w:rsidR="00403AD9" w:rsidRPr="001B76A0">
        <w:rPr>
          <w:rFonts w:ascii="Times New Roman" w:eastAsia="Times New Roman" w:hAnsi="Times New Roman" w:cs="Times New Roman"/>
          <w:iCs/>
          <w:sz w:val="24"/>
          <w:szCs w:val="24"/>
          <w:lang w:eastAsia="bg-BG"/>
        </w:rPr>
        <w:t xml:space="preserve">оследващите оценки на изпълнението </w:t>
      </w:r>
      <w:r>
        <w:rPr>
          <w:rFonts w:ascii="Times New Roman" w:eastAsia="Times New Roman" w:hAnsi="Times New Roman" w:cs="Times New Roman"/>
          <w:iCs/>
          <w:sz w:val="24"/>
          <w:szCs w:val="24"/>
          <w:lang w:eastAsia="bg-BG"/>
        </w:rPr>
        <w:t xml:space="preserve">регионалните планове за развитие </w:t>
      </w:r>
      <w:r w:rsidR="00403AD9" w:rsidRPr="001B76A0">
        <w:rPr>
          <w:rFonts w:ascii="Times New Roman" w:eastAsia="Times New Roman" w:hAnsi="Times New Roman" w:cs="Times New Roman"/>
          <w:iCs/>
          <w:sz w:val="24"/>
          <w:szCs w:val="24"/>
          <w:lang w:eastAsia="bg-BG"/>
        </w:rPr>
        <w:t xml:space="preserve">на шестте района </w:t>
      </w:r>
      <w:r w:rsidR="00403AD9">
        <w:rPr>
          <w:rFonts w:ascii="Times New Roman" w:eastAsia="Times New Roman" w:hAnsi="Times New Roman" w:cs="Times New Roman"/>
          <w:iCs/>
          <w:sz w:val="24"/>
          <w:szCs w:val="24"/>
          <w:lang w:eastAsia="bg-BG"/>
        </w:rPr>
        <w:t xml:space="preserve">от ниво 2, </w:t>
      </w:r>
      <w:r w:rsidR="00403AD9" w:rsidRPr="001B76A0">
        <w:rPr>
          <w:rFonts w:ascii="Times New Roman" w:eastAsia="Times New Roman" w:hAnsi="Times New Roman" w:cs="Times New Roman"/>
          <w:iCs/>
          <w:sz w:val="24"/>
          <w:szCs w:val="24"/>
          <w:lang w:eastAsia="bg-BG"/>
        </w:rPr>
        <w:t xml:space="preserve">може да </w:t>
      </w:r>
      <w:r w:rsidR="00403AD9">
        <w:rPr>
          <w:rFonts w:ascii="Times New Roman" w:eastAsia="Times New Roman" w:hAnsi="Times New Roman" w:cs="Times New Roman"/>
          <w:iCs/>
          <w:sz w:val="24"/>
          <w:szCs w:val="24"/>
          <w:lang w:eastAsia="bg-BG"/>
        </w:rPr>
        <w:t>бъде направено</w:t>
      </w:r>
      <w:r w:rsidR="00403AD9" w:rsidRPr="001B76A0">
        <w:rPr>
          <w:rFonts w:ascii="Times New Roman" w:eastAsia="Times New Roman" w:hAnsi="Times New Roman" w:cs="Times New Roman"/>
          <w:iCs/>
          <w:sz w:val="24"/>
          <w:szCs w:val="24"/>
          <w:lang w:eastAsia="bg-BG"/>
        </w:rPr>
        <w:t xml:space="preserve"> заключението, че всички райони са подпомогнати в развитието си от финансовите средства, предо</w:t>
      </w:r>
      <w:r w:rsidR="00403AD9">
        <w:rPr>
          <w:rFonts w:ascii="Times New Roman" w:eastAsia="Times New Roman" w:hAnsi="Times New Roman" w:cs="Times New Roman"/>
          <w:iCs/>
          <w:sz w:val="24"/>
          <w:szCs w:val="24"/>
          <w:lang w:eastAsia="bg-BG"/>
        </w:rPr>
        <w:t>ставяни от ЕС и са постигнали</w:t>
      </w:r>
      <w:r w:rsidR="00403AD9" w:rsidRPr="001B76A0">
        <w:rPr>
          <w:rFonts w:ascii="Times New Roman" w:eastAsia="Times New Roman" w:hAnsi="Times New Roman" w:cs="Times New Roman"/>
          <w:iCs/>
          <w:sz w:val="24"/>
          <w:szCs w:val="24"/>
          <w:lang w:eastAsia="bg-BG"/>
        </w:rPr>
        <w:t xml:space="preserve"> напредък в сравнение с 2005 г., </w:t>
      </w:r>
      <w:r w:rsidR="00403AD9" w:rsidRPr="00361046">
        <w:rPr>
          <w:rFonts w:ascii="Times New Roman" w:eastAsia="Times New Roman" w:hAnsi="Times New Roman" w:cs="Times New Roman"/>
          <w:iCs/>
          <w:sz w:val="24"/>
          <w:szCs w:val="24"/>
          <w:lang w:eastAsia="bg-BG"/>
        </w:rPr>
        <w:t>въпреки че значимите социално-икономически различия между тях все още не са преодолени</w:t>
      </w:r>
      <w:r w:rsidR="00403AD9">
        <w:rPr>
          <w:rFonts w:ascii="Times New Roman" w:eastAsia="Times New Roman" w:hAnsi="Times New Roman" w:cs="Times New Roman"/>
          <w:iCs/>
          <w:sz w:val="24"/>
          <w:szCs w:val="24"/>
          <w:lang w:eastAsia="bg-BG"/>
        </w:rPr>
        <w:t>.</w:t>
      </w:r>
    </w:p>
    <w:p w:rsidR="00C2639A" w:rsidRDefault="00C2639A" w:rsidP="00291620">
      <w:pPr>
        <w:spacing w:after="200" w:line="276" w:lineRule="auto"/>
        <w:rPr>
          <w:rFonts w:ascii="Times New Roman" w:eastAsia="Calibri" w:hAnsi="Times New Roman" w:cs="Times New Roman"/>
          <w:b/>
          <w:sz w:val="24"/>
          <w:szCs w:val="24"/>
          <w:lang w:val="en-US"/>
        </w:rPr>
      </w:pPr>
    </w:p>
    <w:p w:rsidR="00291620" w:rsidRPr="004077FD" w:rsidRDefault="00291620" w:rsidP="00291620">
      <w:pPr>
        <w:spacing w:after="200" w:line="276" w:lineRule="auto"/>
        <w:rPr>
          <w:rFonts w:ascii="Times New Roman" w:eastAsia="Calibri" w:hAnsi="Times New Roman" w:cs="Times New Roman"/>
          <w:b/>
          <w:sz w:val="24"/>
          <w:szCs w:val="24"/>
        </w:rPr>
      </w:pPr>
      <w:r w:rsidRPr="004077FD">
        <w:rPr>
          <w:rFonts w:ascii="Times New Roman" w:eastAsia="Calibri" w:hAnsi="Times New Roman" w:cs="Times New Roman"/>
          <w:b/>
          <w:sz w:val="24"/>
          <w:szCs w:val="24"/>
        </w:rPr>
        <w:t>Таб</w:t>
      </w:r>
      <w:r w:rsidR="004077FD" w:rsidRPr="004077FD">
        <w:rPr>
          <w:rFonts w:ascii="Times New Roman" w:eastAsia="Calibri" w:hAnsi="Times New Roman" w:cs="Times New Roman"/>
          <w:b/>
          <w:sz w:val="24"/>
          <w:szCs w:val="24"/>
        </w:rPr>
        <w:t xml:space="preserve">лица </w:t>
      </w:r>
      <w:r w:rsidR="004077FD" w:rsidRPr="004077FD">
        <w:rPr>
          <w:rFonts w:ascii="Times New Roman" w:eastAsia="Calibri" w:hAnsi="Times New Roman" w:cs="Times New Roman"/>
          <w:b/>
          <w:sz w:val="24"/>
          <w:szCs w:val="24"/>
          <w:lang w:val="en-US"/>
        </w:rPr>
        <w:t>3</w:t>
      </w:r>
      <w:r w:rsidRPr="004077FD">
        <w:rPr>
          <w:rFonts w:ascii="Times New Roman" w:eastAsia="Calibri" w:hAnsi="Times New Roman" w:cs="Times New Roman"/>
          <w:b/>
          <w:sz w:val="24"/>
          <w:szCs w:val="24"/>
        </w:rPr>
        <w:t>. Макроикономически показатели на районите от ниво 2  (2005-2015 г.)</w:t>
      </w:r>
    </w:p>
    <w:tbl>
      <w:tblPr>
        <w:tblStyle w:val="TableGrid"/>
        <w:tblW w:w="10916" w:type="dxa"/>
        <w:tblInd w:w="-743" w:type="dxa"/>
        <w:tblLayout w:type="fixed"/>
        <w:tblLook w:val="04A0" w:firstRow="1" w:lastRow="0" w:firstColumn="1" w:lastColumn="0" w:noHBand="0" w:noVBand="1"/>
      </w:tblPr>
      <w:tblGrid>
        <w:gridCol w:w="1702"/>
        <w:gridCol w:w="1134"/>
        <w:gridCol w:w="1134"/>
        <w:gridCol w:w="1134"/>
        <w:gridCol w:w="1134"/>
        <w:gridCol w:w="1276"/>
        <w:gridCol w:w="1417"/>
        <w:gridCol w:w="992"/>
        <w:gridCol w:w="993"/>
      </w:tblGrid>
      <w:tr w:rsidR="00291620" w:rsidRPr="007578C2" w:rsidTr="00081B78">
        <w:trPr>
          <w:trHeight w:val="1707"/>
        </w:trPr>
        <w:tc>
          <w:tcPr>
            <w:tcW w:w="1702" w:type="dxa"/>
            <w:vMerge w:val="restart"/>
          </w:tcPr>
          <w:p w:rsidR="00291620" w:rsidRPr="007578C2" w:rsidRDefault="00291620" w:rsidP="00291620">
            <w:pPr>
              <w:rPr>
                <w:rFonts w:ascii="Times New Roman" w:eastAsia="Calibri" w:hAnsi="Times New Roman" w:cs="Times New Roman"/>
                <w:sz w:val="20"/>
                <w:szCs w:val="20"/>
              </w:rPr>
            </w:pPr>
          </w:p>
        </w:tc>
        <w:tc>
          <w:tcPr>
            <w:tcW w:w="2268" w:type="dxa"/>
            <w:gridSpan w:val="2"/>
          </w:tcPr>
          <w:p w:rsidR="00291620" w:rsidRPr="007578C2" w:rsidRDefault="00291620" w:rsidP="00291620">
            <w:pPr>
              <w:jc w:val="center"/>
              <w:rPr>
                <w:rFonts w:ascii="Times New Roman" w:eastAsia="Calibri" w:hAnsi="Times New Roman" w:cs="Times New Roman"/>
                <w:b/>
                <w:sz w:val="20"/>
                <w:szCs w:val="20"/>
              </w:rPr>
            </w:pPr>
          </w:p>
          <w:p w:rsidR="00291620" w:rsidRPr="007578C2" w:rsidRDefault="00291620" w:rsidP="00291620">
            <w:pPr>
              <w:jc w:val="center"/>
              <w:rPr>
                <w:rFonts w:ascii="Times New Roman" w:eastAsia="Calibri" w:hAnsi="Times New Roman" w:cs="Times New Roman"/>
                <w:b/>
                <w:sz w:val="20"/>
                <w:szCs w:val="20"/>
              </w:rPr>
            </w:pPr>
          </w:p>
          <w:p w:rsidR="00291620" w:rsidRPr="007578C2" w:rsidRDefault="00291620" w:rsidP="00291620">
            <w:pPr>
              <w:jc w:val="center"/>
              <w:rPr>
                <w:rFonts w:ascii="Times New Roman" w:eastAsia="Calibri" w:hAnsi="Times New Roman" w:cs="Times New Roman"/>
                <w:b/>
                <w:sz w:val="20"/>
                <w:szCs w:val="20"/>
              </w:rPr>
            </w:pPr>
            <w:r w:rsidRPr="007578C2">
              <w:rPr>
                <w:rFonts w:ascii="Times New Roman" w:eastAsia="Calibri" w:hAnsi="Times New Roman" w:cs="Times New Roman"/>
                <w:b/>
                <w:sz w:val="20"/>
                <w:szCs w:val="20"/>
              </w:rPr>
              <w:t>БВП</w:t>
            </w:r>
          </w:p>
          <w:p w:rsidR="00B87F33" w:rsidRPr="007578C2" w:rsidRDefault="00B87F33" w:rsidP="00291620">
            <w:pPr>
              <w:jc w:val="center"/>
              <w:rPr>
                <w:rFonts w:ascii="Times New Roman" w:eastAsia="Calibri" w:hAnsi="Times New Roman" w:cs="Times New Roman"/>
                <w:i/>
                <w:sz w:val="20"/>
                <w:szCs w:val="20"/>
              </w:rPr>
            </w:pPr>
            <w:r w:rsidRPr="007578C2">
              <w:rPr>
                <w:rFonts w:ascii="Times New Roman" w:eastAsia="Calibri" w:hAnsi="Times New Roman" w:cs="Times New Roman"/>
                <w:i/>
                <w:sz w:val="20"/>
                <w:szCs w:val="20"/>
              </w:rPr>
              <w:t>(млн. евро)</w:t>
            </w:r>
          </w:p>
        </w:tc>
        <w:tc>
          <w:tcPr>
            <w:tcW w:w="2268" w:type="dxa"/>
            <w:gridSpan w:val="2"/>
          </w:tcPr>
          <w:p w:rsidR="00291620" w:rsidRPr="007578C2" w:rsidRDefault="00291620" w:rsidP="00291620">
            <w:pPr>
              <w:jc w:val="center"/>
              <w:rPr>
                <w:rFonts w:ascii="Times New Roman" w:eastAsia="Calibri" w:hAnsi="Times New Roman" w:cs="Times New Roman"/>
                <w:b/>
                <w:sz w:val="20"/>
                <w:szCs w:val="20"/>
              </w:rPr>
            </w:pPr>
          </w:p>
          <w:p w:rsidR="00291620" w:rsidRPr="007578C2" w:rsidRDefault="00291620" w:rsidP="00291620">
            <w:pPr>
              <w:jc w:val="center"/>
              <w:rPr>
                <w:rFonts w:ascii="Times New Roman" w:eastAsia="Calibri" w:hAnsi="Times New Roman" w:cs="Times New Roman"/>
                <w:i/>
                <w:sz w:val="20"/>
                <w:szCs w:val="20"/>
              </w:rPr>
            </w:pPr>
            <w:r w:rsidRPr="007578C2">
              <w:rPr>
                <w:rFonts w:ascii="Times New Roman" w:eastAsia="Calibri" w:hAnsi="Times New Roman" w:cs="Times New Roman"/>
                <w:b/>
                <w:sz w:val="20"/>
                <w:szCs w:val="20"/>
              </w:rPr>
              <w:t>БВП на човек от населението</w:t>
            </w:r>
            <w:r w:rsidRPr="007578C2">
              <w:rPr>
                <w:rFonts w:ascii="Times New Roman" w:eastAsia="Calibri" w:hAnsi="Times New Roman" w:cs="Times New Roman"/>
                <w:i/>
                <w:sz w:val="20"/>
                <w:szCs w:val="20"/>
              </w:rPr>
              <w:t xml:space="preserve"> </w:t>
            </w:r>
          </w:p>
          <w:p w:rsidR="00291620" w:rsidRPr="007578C2" w:rsidRDefault="00B87F33" w:rsidP="00291620">
            <w:pPr>
              <w:jc w:val="center"/>
              <w:rPr>
                <w:rFonts w:ascii="Times New Roman" w:eastAsia="Calibri" w:hAnsi="Times New Roman" w:cs="Times New Roman"/>
                <w:b/>
                <w:sz w:val="20"/>
                <w:szCs w:val="20"/>
              </w:rPr>
            </w:pPr>
            <w:r w:rsidRPr="007578C2">
              <w:rPr>
                <w:rFonts w:ascii="Times New Roman" w:eastAsia="Calibri" w:hAnsi="Times New Roman" w:cs="Times New Roman"/>
                <w:i/>
                <w:sz w:val="20"/>
                <w:szCs w:val="20"/>
              </w:rPr>
              <w:t>(</w:t>
            </w:r>
            <w:r w:rsidR="00291620" w:rsidRPr="007578C2">
              <w:rPr>
                <w:rFonts w:ascii="Times New Roman" w:eastAsia="Calibri" w:hAnsi="Times New Roman" w:cs="Times New Roman"/>
                <w:i/>
                <w:sz w:val="20"/>
                <w:szCs w:val="20"/>
              </w:rPr>
              <w:t>евро на човек от населението</w:t>
            </w:r>
            <w:r w:rsidRPr="007578C2">
              <w:rPr>
                <w:rFonts w:ascii="Times New Roman" w:eastAsia="Calibri" w:hAnsi="Times New Roman" w:cs="Times New Roman"/>
                <w:i/>
                <w:sz w:val="20"/>
                <w:szCs w:val="20"/>
              </w:rPr>
              <w:t>)</w:t>
            </w:r>
          </w:p>
        </w:tc>
        <w:tc>
          <w:tcPr>
            <w:tcW w:w="2693" w:type="dxa"/>
            <w:gridSpan w:val="2"/>
          </w:tcPr>
          <w:p w:rsidR="00291620" w:rsidRPr="007578C2" w:rsidRDefault="00291620" w:rsidP="00291620">
            <w:pPr>
              <w:jc w:val="center"/>
              <w:rPr>
                <w:rFonts w:ascii="Times New Roman" w:eastAsia="Calibri" w:hAnsi="Times New Roman" w:cs="Times New Roman"/>
                <w:b/>
                <w:sz w:val="20"/>
                <w:szCs w:val="20"/>
              </w:rPr>
            </w:pPr>
          </w:p>
          <w:p w:rsidR="00291620" w:rsidRPr="007578C2" w:rsidRDefault="00291620" w:rsidP="00291620">
            <w:pPr>
              <w:jc w:val="center"/>
              <w:rPr>
                <w:rFonts w:ascii="Times New Roman" w:eastAsia="Calibri" w:hAnsi="Times New Roman" w:cs="Times New Roman"/>
                <w:b/>
                <w:sz w:val="20"/>
                <w:szCs w:val="20"/>
              </w:rPr>
            </w:pPr>
            <w:r w:rsidRPr="007578C2">
              <w:rPr>
                <w:rFonts w:ascii="Times New Roman" w:eastAsia="Calibri" w:hAnsi="Times New Roman" w:cs="Times New Roman"/>
                <w:b/>
                <w:sz w:val="20"/>
                <w:szCs w:val="20"/>
              </w:rPr>
              <w:t>Преки чуждестранни инвестиции</w:t>
            </w:r>
          </w:p>
          <w:p w:rsidR="00291620" w:rsidRPr="007578C2" w:rsidRDefault="00B87F33" w:rsidP="00291620">
            <w:pPr>
              <w:jc w:val="center"/>
              <w:rPr>
                <w:rFonts w:ascii="Times New Roman" w:eastAsia="Calibri" w:hAnsi="Times New Roman" w:cs="Times New Roman"/>
                <w:i/>
                <w:sz w:val="20"/>
                <w:szCs w:val="20"/>
              </w:rPr>
            </w:pPr>
            <w:r w:rsidRPr="007578C2">
              <w:rPr>
                <w:rFonts w:ascii="Times New Roman" w:eastAsia="Calibri" w:hAnsi="Times New Roman" w:cs="Times New Roman"/>
                <w:i/>
                <w:sz w:val="20"/>
                <w:szCs w:val="20"/>
              </w:rPr>
              <w:t>(</w:t>
            </w:r>
            <w:r w:rsidR="00291620" w:rsidRPr="007578C2">
              <w:rPr>
                <w:rFonts w:ascii="Times New Roman" w:eastAsia="Calibri" w:hAnsi="Times New Roman" w:cs="Times New Roman"/>
                <w:i/>
                <w:sz w:val="20"/>
                <w:szCs w:val="20"/>
              </w:rPr>
              <w:t>хил. евро</w:t>
            </w:r>
            <w:r w:rsidRPr="007578C2">
              <w:rPr>
                <w:rFonts w:ascii="Times New Roman" w:eastAsia="Calibri" w:hAnsi="Times New Roman" w:cs="Times New Roman"/>
                <w:i/>
                <w:sz w:val="20"/>
                <w:szCs w:val="20"/>
              </w:rPr>
              <w:t>)</w:t>
            </w:r>
          </w:p>
        </w:tc>
        <w:tc>
          <w:tcPr>
            <w:tcW w:w="1985" w:type="dxa"/>
            <w:gridSpan w:val="2"/>
          </w:tcPr>
          <w:p w:rsidR="00291620" w:rsidRPr="007578C2" w:rsidRDefault="00291620" w:rsidP="00291620">
            <w:pPr>
              <w:jc w:val="center"/>
              <w:rPr>
                <w:rFonts w:ascii="Times New Roman" w:eastAsia="Calibri" w:hAnsi="Times New Roman" w:cs="Times New Roman"/>
                <w:b/>
                <w:sz w:val="20"/>
                <w:szCs w:val="20"/>
              </w:rPr>
            </w:pPr>
            <w:r w:rsidRPr="007578C2">
              <w:rPr>
                <w:rFonts w:ascii="Times New Roman" w:eastAsia="Calibri" w:hAnsi="Times New Roman" w:cs="Times New Roman"/>
                <w:b/>
                <w:sz w:val="20"/>
                <w:szCs w:val="20"/>
              </w:rPr>
              <w:t xml:space="preserve">Относителен дял на разходите за НИРД </w:t>
            </w:r>
          </w:p>
          <w:p w:rsidR="00291620" w:rsidRPr="007578C2" w:rsidRDefault="00B87F33" w:rsidP="00291620">
            <w:pPr>
              <w:jc w:val="center"/>
              <w:rPr>
                <w:rFonts w:ascii="Times New Roman" w:eastAsia="Calibri" w:hAnsi="Times New Roman" w:cs="Times New Roman"/>
                <w:b/>
                <w:sz w:val="20"/>
                <w:szCs w:val="20"/>
              </w:rPr>
            </w:pPr>
            <w:r w:rsidRPr="007578C2">
              <w:rPr>
                <w:rFonts w:ascii="Times New Roman" w:eastAsia="Calibri" w:hAnsi="Times New Roman" w:cs="Times New Roman"/>
                <w:i/>
                <w:sz w:val="20"/>
                <w:szCs w:val="20"/>
              </w:rPr>
              <w:t>(</w:t>
            </w:r>
            <w:r w:rsidR="00291620" w:rsidRPr="007578C2">
              <w:rPr>
                <w:rFonts w:ascii="Times New Roman" w:eastAsia="Calibri" w:hAnsi="Times New Roman" w:cs="Times New Roman"/>
                <w:i/>
                <w:sz w:val="20"/>
                <w:szCs w:val="20"/>
              </w:rPr>
              <w:t>евро на човек от населението</w:t>
            </w:r>
            <w:r w:rsidRPr="007578C2">
              <w:rPr>
                <w:rFonts w:ascii="Times New Roman" w:eastAsia="Calibri" w:hAnsi="Times New Roman" w:cs="Times New Roman"/>
                <w:i/>
                <w:sz w:val="20"/>
                <w:szCs w:val="20"/>
              </w:rPr>
              <w:t>)</w:t>
            </w:r>
          </w:p>
        </w:tc>
      </w:tr>
      <w:tr w:rsidR="00291620" w:rsidRPr="007578C2" w:rsidTr="00081B78">
        <w:trPr>
          <w:trHeight w:val="686"/>
        </w:trPr>
        <w:tc>
          <w:tcPr>
            <w:tcW w:w="1702" w:type="dxa"/>
            <w:vMerge/>
          </w:tcPr>
          <w:p w:rsidR="00291620" w:rsidRPr="007578C2" w:rsidRDefault="00291620" w:rsidP="00291620">
            <w:pPr>
              <w:spacing w:before="240"/>
              <w:rPr>
                <w:rFonts w:ascii="Times New Roman" w:eastAsia="Calibri" w:hAnsi="Times New Roman" w:cs="Times New Roman"/>
                <w:sz w:val="20"/>
                <w:szCs w:val="20"/>
              </w:rPr>
            </w:pPr>
          </w:p>
        </w:tc>
        <w:tc>
          <w:tcPr>
            <w:tcW w:w="1134" w:type="dxa"/>
          </w:tcPr>
          <w:p w:rsidR="00291620" w:rsidRPr="007578C2" w:rsidRDefault="00291620" w:rsidP="00291620">
            <w:pPr>
              <w:spacing w:before="240"/>
              <w:jc w:val="center"/>
              <w:rPr>
                <w:rFonts w:ascii="Times New Roman" w:eastAsia="Calibri" w:hAnsi="Times New Roman" w:cs="Times New Roman"/>
                <w:b/>
                <w:sz w:val="20"/>
                <w:szCs w:val="20"/>
              </w:rPr>
            </w:pPr>
            <w:r w:rsidRPr="007578C2">
              <w:rPr>
                <w:rFonts w:ascii="Times New Roman" w:eastAsia="Calibri" w:hAnsi="Times New Roman" w:cs="Times New Roman"/>
                <w:b/>
                <w:sz w:val="20"/>
                <w:szCs w:val="20"/>
              </w:rPr>
              <w:t>2005г.</w:t>
            </w:r>
          </w:p>
        </w:tc>
        <w:tc>
          <w:tcPr>
            <w:tcW w:w="1134" w:type="dxa"/>
          </w:tcPr>
          <w:p w:rsidR="00291620" w:rsidRPr="007578C2" w:rsidRDefault="00291620" w:rsidP="00291620">
            <w:pPr>
              <w:spacing w:before="240"/>
              <w:jc w:val="center"/>
              <w:rPr>
                <w:rFonts w:ascii="Times New Roman" w:eastAsia="Calibri" w:hAnsi="Times New Roman" w:cs="Times New Roman"/>
                <w:b/>
                <w:sz w:val="20"/>
                <w:szCs w:val="20"/>
              </w:rPr>
            </w:pPr>
            <w:r w:rsidRPr="007578C2">
              <w:rPr>
                <w:rFonts w:ascii="Times New Roman" w:eastAsia="Calibri" w:hAnsi="Times New Roman" w:cs="Times New Roman"/>
                <w:b/>
                <w:sz w:val="20"/>
                <w:szCs w:val="20"/>
              </w:rPr>
              <w:t>2014г</w:t>
            </w:r>
          </w:p>
        </w:tc>
        <w:tc>
          <w:tcPr>
            <w:tcW w:w="1134" w:type="dxa"/>
          </w:tcPr>
          <w:p w:rsidR="00291620" w:rsidRPr="007578C2" w:rsidRDefault="00291620" w:rsidP="00291620">
            <w:pPr>
              <w:spacing w:before="240"/>
              <w:jc w:val="center"/>
              <w:rPr>
                <w:rFonts w:ascii="Times New Roman" w:eastAsia="Calibri" w:hAnsi="Times New Roman" w:cs="Times New Roman"/>
                <w:b/>
                <w:sz w:val="20"/>
                <w:szCs w:val="20"/>
              </w:rPr>
            </w:pPr>
            <w:r w:rsidRPr="007578C2">
              <w:rPr>
                <w:rFonts w:ascii="Times New Roman" w:eastAsia="Calibri" w:hAnsi="Times New Roman" w:cs="Times New Roman"/>
                <w:b/>
                <w:sz w:val="20"/>
                <w:szCs w:val="20"/>
              </w:rPr>
              <w:t>2005г</w:t>
            </w:r>
          </w:p>
        </w:tc>
        <w:tc>
          <w:tcPr>
            <w:tcW w:w="1134" w:type="dxa"/>
          </w:tcPr>
          <w:p w:rsidR="00291620" w:rsidRPr="007578C2" w:rsidRDefault="00291620" w:rsidP="00291620">
            <w:pPr>
              <w:spacing w:before="240"/>
              <w:jc w:val="center"/>
              <w:rPr>
                <w:rFonts w:ascii="Times New Roman" w:eastAsia="Calibri" w:hAnsi="Times New Roman" w:cs="Times New Roman"/>
                <w:b/>
                <w:sz w:val="20"/>
                <w:szCs w:val="20"/>
              </w:rPr>
            </w:pPr>
            <w:r w:rsidRPr="007578C2">
              <w:rPr>
                <w:rFonts w:ascii="Times New Roman" w:eastAsia="Calibri" w:hAnsi="Times New Roman" w:cs="Times New Roman"/>
                <w:b/>
                <w:sz w:val="20"/>
                <w:szCs w:val="20"/>
              </w:rPr>
              <w:t>2014г</w:t>
            </w:r>
          </w:p>
        </w:tc>
        <w:tc>
          <w:tcPr>
            <w:tcW w:w="1276" w:type="dxa"/>
          </w:tcPr>
          <w:p w:rsidR="00291620" w:rsidRPr="007578C2" w:rsidRDefault="00291620" w:rsidP="00291620">
            <w:pPr>
              <w:spacing w:before="240"/>
              <w:jc w:val="center"/>
              <w:rPr>
                <w:rFonts w:ascii="Times New Roman" w:eastAsia="Calibri" w:hAnsi="Times New Roman" w:cs="Times New Roman"/>
                <w:b/>
                <w:sz w:val="20"/>
                <w:szCs w:val="20"/>
              </w:rPr>
            </w:pPr>
            <w:r w:rsidRPr="007578C2">
              <w:rPr>
                <w:rFonts w:ascii="Times New Roman" w:eastAsia="Calibri" w:hAnsi="Times New Roman" w:cs="Times New Roman"/>
                <w:b/>
                <w:sz w:val="20"/>
                <w:szCs w:val="20"/>
              </w:rPr>
              <w:t>2005г.</w:t>
            </w:r>
          </w:p>
        </w:tc>
        <w:tc>
          <w:tcPr>
            <w:tcW w:w="1417" w:type="dxa"/>
          </w:tcPr>
          <w:p w:rsidR="00291620" w:rsidRPr="007578C2" w:rsidRDefault="00291620" w:rsidP="00291620">
            <w:pPr>
              <w:spacing w:before="240"/>
              <w:jc w:val="center"/>
              <w:rPr>
                <w:rFonts w:ascii="Times New Roman" w:eastAsia="Calibri" w:hAnsi="Times New Roman" w:cs="Times New Roman"/>
                <w:b/>
                <w:sz w:val="20"/>
                <w:szCs w:val="20"/>
              </w:rPr>
            </w:pPr>
            <w:r w:rsidRPr="007578C2">
              <w:rPr>
                <w:rFonts w:ascii="Times New Roman" w:eastAsia="Calibri" w:hAnsi="Times New Roman" w:cs="Times New Roman"/>
                <w:b/>
                <w:sz w:val="20"/>
                <w:szCs w:val="20"/>
              </w:rPr>
              <w:t>2015г.</w:t>
            </w:r>
          </w:p>
        </w:tc>
        <w:tc>
          <w:tcPr>
            <w:tcW w:w="992" w:type="dxa"/>
          </w:tcPr>
          <w:p w:rsidR="00291620" w:rsidRPr="007578C2" w:rsidRDefault="00291620" w:rsidP="00291620">
            <w:pPr>
              <w:spacing w:before="240"/>
              <w:jc w:val="center"/>
              <w:rPr>
                <w:rFonts w:ascii="Times New Roman" w:eastAsia="Calibri" w:hAnsi="Times New Roman" w:cs="Times New Roman"/>
                <w:b/>
                <w:sz w:val="20"/>
                <w:szCs w:val="20"/>
              </w:rPr>
            </w:pPr>
            <w:r w:rsidRPr="007578C2">
              <w:rPr>
                <w:rFonts w:ascii="Times New Roman" w:eastAsia="Calibri" w:hAnsi="Times New Roman" w:cs="Times New Roman"/>
                <w:b/>
                <w:sz w:val="20"/>
                <w:szCs w:val="20"/>
              </w:rPr>
              <w:t>2005г.</w:t>
            </w:r>
          </w:p>
        </w:tc>
        <w:tc>
          <w:tcPr>
            <w:tcW w:w="993" w:type="dxa"/>
          </w:tcPr>
          <w:p w:rsidR="00291620" w:rsidRPr="007578C2" w:rsidRDefault="00291620" w:rsidP="00291620">
            <w:pPr>
              <w:spacing w:before="240"/>
              <w:jc w:val="center"/>
              <w:rPr>
                <w:rFonts w:ascii="Times New Roman" w:eastAsia="Calibri" w:hAnsi="Times New Roman" w:cs="Times New Roman"/>
                <w:b/>
                <w:sz w:val="20"/>
                <w:szCs w:val="20"/>
              </w:rPr>
            </w:pPr>
            <w:r w:rsidRPr="007578C2">
              <w:rPr>
                <w:rFonts w:ascii="Times New Roman" w:eastAsia="Calibri" w:hAnsi="Times New Roman" w:cs="Times New Roman"/>
                <w:b/>
                <w:sz w:val="20"/>
                <w:szCs w:val="20"/>
              </w:rPr>
              <w:t>2014г.</w:t>
            </w:r>
          </w:p>
        </w:tc>
      </w:tr>
      <w:tr w:rsidR="00291620" w:rsidRPr="007578C2" w:rsidTr="00081B78">
        <w:trPr>
          <w:trHeight w:val="335"/>
        </w:trPr>
        <w:tc>
          <w:tcPr>
            <w:tcW w:w="1702" w:type="dxa"/>
          </w:tcPr>
          <w:p w:rsidR="00291620" w:rsidRPr="007578C2" w:rsidRDefault="00291620" w:rsidP="00291620">
            <w:pPr>
              <w:spacing w:before="240"/>
              <w:rPr>
                <w:rFonts w:ascii="Times New Roman" w:eastAsia="Calibri" w:hAnsi="Times New Roman" w:cs="Times New Roman"/>
                <w:b/>
                <w:i/>
                <w:sz w:val="20"/>
                <w:szCs w:val="20"/>
              </w:rPr>
            </w:pPr>
            <w:r w:rsidRPr="007578C2">
              <w:rPr>
                <w:rFonts w:ascii="Times New Roman" w:eastAsia="Calibri" w:hAnsi="Times New Roman" w:cs="Times New Roman"/>
                <w:b/>
                <w:i/>
                <w:sz w:val="20"/>
                <w:szCs w:val="20"/>
              </w:rPr>
              <w:t>ЕС(28)</w:t>
            </w:r>
          </w:p>
        </w:tc>
        <w:tc>
          <w:tcPr>
            <w:tcW w:w="1134" w:type="dxa"/>
          </w:tcPr>
          <w:p w:rsidR="00291620" w:rsidRPr="007578C2" w:rsidRDefault="00291620" w:rsidP="00291620">
            <w:pPr>
              <w:spacing w:before="240"/>
              <w:jc w:val="center"/>
              <w:rPr>
                <w:rFonts w:ascii="Times New Roman" w:eastAsia="Times New Roman" w:hAnsi="Times New Roman" w:cs="Times New Roman"/>
                <w:color w:val="000000"/>
                <w:sz w:val="20"/>
                <w:szCs w:val="20"/>
              </w:rPr>
            </w:pPr>
            <w:r w:rsidRPr="007578C2">
              <w:rPr>
                <w:rFonts w:ascii="Times New Roman" w:eastAsia="Times New Roman" w:hAnsi="Times New Roman" w:cs="Times New Roman"/>
                <w:color w:val="000000"/>
                <w:sz w:val="20"/>
                <w:szCs w:val="20"/>
              </w:rPr>
              <w:t>11 517 668</w:t>
            </w:r>
          </w:p>
          <w:p w:rsidR="00291620" w:rsidRPr="007578C2" w:rsidRDefault="00291620" w:rsidP="00291620">
            <w:pPr>
              <w:spacing w:before="240"/>
              <w:jc w:val="center"/>
              <w:rPr>
                <w:rFonts w:ascii="Times New Roman" w:eastAsia="Calibri" w:hAnsi="Times New Roman" w:cs="Times New Roman"/>
                <w:sz w:val="20"/>
                <w:szCs w:val="20"/>
              </w:rPr>
            </w:pPr>
          </w:p>
        </w:tc>
        <w:tc>
          <w:tcPr>
            <w:tcW w:w="1134" w:type="dxa"/>
          </w:tcPr>
          <w:p w:rsidR="00291620" w:rsidRPr="007578C2" w:rsidRDefault="00291620" w:rsidP="00291620">
            <w:pPr>
              <w:spacing w:before="240"/>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13 959 739</w:t>
            </w:r>
          </w:p>
        </w:tc>
        <w:tc>
          <w:tcPr>
            <w:tcW w:w="1134" w:type="dxa"/>
          </w:tcPr>
          <w:p w:rsidR="00291620" w:rsidRPr="007578C2" w:rsidRDefault="00291620" w:rsidP="00291620">
            <w:pPr>
              <w:spacing w:before="240"/>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494 867</w:t>
            </w:r>
          </w:p>
        </w:tc>
        <w:tc>
          <w:tcPr>
            <w:tcW w:w="1134" w:type="dxa"/>
          </w:tcPr>
          <w:p w:rsidR="00291620" w:rsidRPr="007578C2" w:rsidRDefault="00291620" w:rsidP="00291620">
            <w:pPr>
              <w:spacing w:before="240"/>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508 125</w:t>
            </w:r>
          </w:p>
        </w:tc>
        <w:tc>
          <w:tcPr>
            <w:tcW w:w="1276" w:type="dxa"/>
          </w:tcPr>
          <w:p w:rsidR="00291620" w:rsidRPr="007578C2" w:rsidRDefault="00291620" w:rsidP="00291620">
            <w:pPr>
              <w:spacing w:before="240"/>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w:t>
            </w:r>
          </w:p>
        </w:tc>
        <w:tc>
          <w:tcPr>
            <w:tcW w:w="1417" w:type="dxa"/>
          </w:tcPr>
          <w:p w:rsidR="00291620" w:rsidRPr="007578C2" w:rsidRDefault="00291620" w:rsidP="00291620">
            <w:pPr>
              <w:spacing w:before="240"/>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w:t>
            </w:r>
          </w:p>
        </w:tc>
        <w:tc>
          <w:tcPr>
            <w:tcW w:w="992" w:type="dxa"/>
          </w:tcPr>
          <w:p w:rsidR="00291620" w:rsidRPr="007578C2" w:rsidRDefault="00291620" w:rsidP="00291620">
            <w:pPr>
              <w:spacing w:before="240"/>
              <w:jc w:val="center"/>
              <w:rPr>
                <w:rFonts w:ascii="Times New Roman" w:eastAsia="Times New Roman" w:hAnsi="Times New Roman" w:cs="Times New Roman"/>
                <w:color w:val="000000"/>
                <w:sz w:val="20"/>
                <w:szCs w:val="20"/>
              </w:rPr>
            </w:pPr>
            <w:r w:rsidRPr="007578C2">
              <w:rPr>
                <w:rFonts w:ascii="Times New Roman" w:eastAsia="Times New Roman" w:hAnsi="Times New Roman" w:cs="Times New Roman"/>
                <w:color w:val="000000"/>
                <w:sz w:val="20"/>
                <w:szCs w:val="20"/>
              </w:rPr>
              <w:t>408,7</w:t>
            </w:r>
          </w:p>
          <w:p w:rsidR="00291620" w:rsidRPr="007578C2" w:rsidRDefault="00291620" w:rsidP="00291620">
            <w:pPr>
              <w:spacing w:before="240"/>
              <w:jc w:val="center"/>
              <w:rPr>
                <w:rFonts w:ascii="Times New Roman" w:eastAsia="Calibri" w:hAnsi="Times New Roman" w:cs="Times New Roman"/>
                <w:sz w:val="20"/>
                <w:szCs w:val="20"/>
              </w:rPr>
            </w:pPr>
          </w:p>
        </w:tc>
        <w:tc>
          <w:tcPr>
            <w:tcW w:w="993" w:type="dxa"/>
          </w:tcPr>
          <w:p w:rsidR="00291620" w:rsidRPr="007578C2" w:rsidRDefault="00291620" w:rsidP="00291620">
            <w:pPr>
              <w:spacing w:before="240"/>
              <w:jc w:val="center"/>
              <w:rPr>
                <w:rFonts w:ascii="Times New Roman" w:eastAsia="Times New Roman" w:hAnsi="Times New Roman" w:cs="Times New Roman"/>
                <w:color w:val="000000"/>
                <w:sz w:val="20"/>
                <w:szCs w:val="20"/>
              </w:rPr>
            </w:pPr>
            <w:r w:rsidRPr="007578C2">
              <w:rPr>
                <w:rFonts w:ascii="Times New Roman" w:eastAsia="Times New Roman" w:hAnsi="Times New Roman" w:cs="Times New Roman"/>
                <w:color w:val="000000"/>
                <w:sz w:val="20"/>
                <w:szCs w:val="20"/>
              </w:rPr>
              <w:t>564,4</w:t>
            </w:r>
          </w:p>
          <w:p w:rsidR="00291620" w:rsidRPr="007578C2" w:rsidRDefault="00291620" w:rsidP="00291620">
            <w:pPr>
              <w:spacing w:before="240"/>
              <w:jc w:val="center"/>
              <w:rPr>
                <w:rFonts w:ascii="Times New Roman" w:eastAsia="Calibri" w:hAnsi="Times New Roman" w:cs="Times New Roman"/>
                <w:sz w:val="20"/>
                <w:szCs w:val="20"/>
              </w:rPr>
            </w:pPr>
          </w:p>
        </w:tc>
      </w:tr>
      <w:tr w:rsidR="00291620" w:rsidRPr="007578C2" w:rsidTr="00081B78">
        <w:trPr>
          <w:trHeight w:val="335"/>
        </w:trPr>
        <w:tc>
          <w:tcPr>
            <w:tcW w:w="1702" w:type="dxa"/>
          </w:tcPr>
          <w:p w:rsidR="00291620" w:rsidRPr="007578C2" w:rsidRDefault="00291620" w:rsidP="00291620">
            <w:pPr>
              <w:spacing w:before="240"/>
              <w:rPr>
                <w:rFonts w:ascii="Times New Roman" w:eastAsia="Calibri" w:hAnsi="Times New Roman" w:cs="Times New Roman"/>
                <w:b/>
                <w:i/>
                <w:sz w:val="20"/>
                <w:szCs w:val="20"/>
              </w:rPr>
            </w:pPr>
            <w:r w:rsidRPr="007578C2">
              <w:rPr>
                <w:rFonts w:ascii="Times New Roman" w:eastAsia="Calibri" w:hAnsi="Times New Roman" w:cs="Times New Roman"/>
                <w:b/>
                <w:i/>
                <w:sz w:val="20"/>
                <w:szCs w:val="20"/>
              </w:rPr>
              <w:t>България</w:t>
            </w:r>
          </w:p>
        </w:tc>
        <w:tc>
          <w:tcPr>
            <w:tcW w:w="1134" w:type="dxa"/>
          </w:tcPr>
          <w:p w:rsidR="00291620" w:rsidRPr="007578C2" w:rsidRDefault="00291620" w:rsidP="00291620">
            <w:pPr>
              <w:spacing w:before="240"/>
              <w:jc w:val="center"/>
              <w:rPr>
                <w:rFonts w:ascii="Times New Roman" w:eastAsia="Times New Roman" w:hAnsi="Times New Roman" w:cs="Times New Roman"/>
                <w:color w:val="000000"/>
                <w:sz w:val="20"/>
                <w:szCs w:val="20"/>
              </w:rPr>
            </w:pPr>
            <w:r w:rsidRPr="007578C2">
              <w:rPr>
                <w:rFonts w:ascii="Times New Roman" w:eastAsia="Times New Roman" w:hAnsi="Times New Roman" w:cs="Times New Roman"/>
                <w:color w:val="000000"/>
                <w:sz w:val="20"/>
                <w:szCs w:val="20"/>
              </w:rPr>
              <w:t>24 002</w:t>
            </w:r>
          </w:p>
          <w:p w:rsidR="00291620" w:rsidRPr="007578C2" w:rsidRDefault="00291620" w:rsidP="00291620">
            <w:pPr>
              <w:spacing w:before="240"/>
              <w:jc w:val="center"/>
              <w:rPr>
                <w:rFonts w:ascii="Times New Roman" w:eastAsia="Calibri" w:hAnsi="Times New Roman" w:cs="Times New Roman"/>
                <w:sz w:val="20"/>
                <w:szCs w:val="20"/>
              </w:rPr>
            </w:pPr>
          </w:p>
        </w:tc>
        <w:tc>
          <w:tcPr>
            <w:tcW w:w="1134" w:type="dxa"/>
          </w:tcPr>
          <w:p w:rsidR="00291620" w:rsidRPr="007578C2" w:rsidRDefault="00291620" w:rsidP="00291620">
            <w:pPr>
              <w:spacing w:before="240"/>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42 751</w:t>
            </w:r>
          </w:p>
        </w:tc>
        <w:tc>
          <w:tcPr>
            <w:tcW w:w="1134" w:type="dxa"/>
          </w:tcPr>
          <w:p w:rsidR="00291620" w:rsidRPr="007578C2" w:rsidRDefault="00291620" w:rsidP="00291620">
            <w:pPr>
              <w:spacing w:before="240"/>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7 739</w:t>
            </w:r>
          </w:p>
        </w:tc>
        <w:tc>
          <w:tcPr>
            <w:tcW w:w="1134" w:type="dxa"/>
          </w:tcPr>
          <w:p w:rsidR="00291620" w:rsidRPr="007578C2" w:rsidRDefault="00291620" w:rsidP="00291620">
            <w:pPr>
              <w:spacing w:before="240"/>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7 233</w:t>
            </w:r>
          </w:p>
        </w:tc>
        <w:tc>
          <w:tcPr>
            <w:tcW w:w="1276" w:type="dxa"/>
          </w:tcPr>
          <w:p w:rsidR="00291620" w:rsidRPr="007578C2" w:rsidRDefault="00291620" w:rsidP="00291620">
            <w:pPr>
              <w:spacing w:before="240"/>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9 196 052,8</w:t>
            </w:r>
          </w:p>
        </w:tc>
        <w:tc>
          <w:tcPr>
            <w:tcW w:w="1417" w:type="dxa"/>
          </w:tcPr>
          <w:p w:rsidR="00291620" w:rsidRPr="007578C2" w:rsidRDefault="00291620" w:rsidP="00291620">
            <w:pPr>
              <w:spacing w:before="240"/>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23 163 272,7</w:t>
            </w:r>
          </w:p>
        </w:tc>
        <w:tc>
          <w:tcPr>
            <w:tcW w:w="992" w:type="dxa"/>
          </w:tcPr>
          <w:p w:rsidR="00291620" w:rsidRPr="007578C2" w:rsidRDefault="00291620" w:rsidP="00291620">
            <w:pPr>
              <w:spacing w:before="240"/>
              <w:jc w:val="center"/>
              <w:rPr>
                <w:rFonts w:ascii="Times New Roman" w:eastAsia="Times New Roman" w:hAnsi="Times New Roman" w:cs="Times New Roman"/>
                <w:color w:val="000000"/>
                <w:sz w:val="20"/>
                <w:szCs w:val="20"/>
              </w:rPr>
            </w:pPr>
            <w:r w:rsidRPr="007578C2">
              <w:rPr>
                <w:rFonts w:ascii="Times New Roman" w:eastAsia="Times New Roman" w:hAnsi="Times New Roman" w:cs="Times New Roman"/>
                <w:color w:val="000000"/>
                <w:sz w:val="20"/>
                <w:szCs w:val="20"/>
              </w:rPr>
              <w:t>13,8</w:t>
            </w:r>
          </w:p>
          <w:p w:rsidR="00291620" w:rsidRPr="007578C2" w:rsidRDefault="00291620" w:rsidP="00291620">
            <w:pPr>
              <w:spacing w:before="240"/>
              <w:jc w:val="center"/>
              <w:rPr>
                <w:rFonts w:ascii="Times New Roman" w:eastAsia="Calibri" w:hAnsi="Times New Roman" w:cs="Times New Roman"/>
                <w:sz w:val="20"/>
                <w:szCs w:val="20"/>
              </w:rPr>
            </w:pPr>
          </w:p>
        </w:tc>
        <w:tc>
          <w:tcPr>
            <w:tcW w:w="993" w:type="dxa"/>
          </w:tcPr>
          <w:p w:rsidR="00291620" w:rsidRPr="007578C2" w:rsidRDefault="00291620" w:rsidP="00291620">
            <w:pPr>
              <w:spacing w:before="240"/>
              <w:jc w:val="center"/>
              <w:rPr>
                <w:rFonts w:ascii="Times New Roman" w:eastAsia="Times New Roman" w:hAnsi="Times New Roman" w:cs="Times New Roman"/>
                <w:color w:val="000000"/>
                <w:sz w:val="20"/>
                <w:szCs w:val="20"/>
              </w:rPr>
            </w:pPr>
            <w:r w:rsidRPr="007578C2">
              <w:rPr>
                <w:rFonts w:ascii="Times New Roman" w:eastAsia="Times New Roman" w:hAnsi="Times New Roman" w:cs="Times New Roman"/>
                <w:color w:val="000000"/>
                <w:sz w:val="20"/>
                <w:szCs w:val="20"/>
              </w:rPr>
              <w:t>46,9</w:t>
            </w:r>
          </w:p>
          <w:p w:rsidR="00291620" w:rsidRPr="007578C2" w:rsidRDefault="00291620" w:rsidP="00291620">
            <w:pPr>
              <w:spacing w:before="240"/>
              <w:jc w:val="center"/>
              <w:rPr>
                <w:rFonts w:ascii="Times New Roman" w:eastAsia="Calibri" w:hAnsi="Times New Roman" w:cs="Times New Roman"/>
                <w:sz w:val="20"/>
                <w:szCs w:val="20"/>
              </w:rPr>
            </w:pPr>
          </w:p>
        </w:tc>
      </w:tr>
      <w:tr w:rsidR="00291620" w:rsidRPr="007578C2" w:rsidTr="00081B78">
        <w:trPr>
          <w:trHeight w:val="686"/>
        </w:trPr>
        <w:tc>
          <w:tcPr>
            <w:tcW w:w="1702" w:type="dxa"/>
          </w:tcPr>
          <w:p w:rsidR="00291620" w:rsidRPr="007578C2" w:rsidRDefault="00291620" w:rsidP="00291620">
            <w:pPr>
              <w:spacing w:before="240"/>
              <w:rPr>
                <w:rFonts w:ascii="Times New Roman" w:eastAsia="Calibri" w:hAnsi="Times New Roman" w:cs="Times New Roman"/>
                <w:b/>
                <w:i/>
                <w:sz w:val="20"/>
                <w:szCs w:val="20"/>
              </w:rPr>
            </w:pPr>
            <w:r w:rsidRPr="007578C2">
              <w:rPr>
                <w:rFonts w:ascii="Times New Roman" w:eastAsia="Calibri" w:hAnsi="Times New Roman" w:cs="Times New Roman"/>
                <w:b/>
                <w:i/>
                <w:sz w:val="20"/>
                <w:szCs w:val="20"/>
              </w:rPr>
              <w:lastRenderedPageBreak/>
              <w:t>Северозападен район</w:t>
            </w:r>
          </w:p>
        </w:tc>
        <w:tc>
          <w:tcPr>
            <w:tcW w:w="1134" w:type="dxa"/>
          </w:tcPr>
          <w:p w:rsidR="00291620" w:rsidRPr="007578C2" w:rsidRDefault="00291620" w:rsidP="00291620">
            <w:pPr>
              <w:spacing w:before="240"/>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2 258</w:t>
            </w:r>
          </w:p>
        </w:tc>
        <w:tc>
          <w:tcPr>
            <w:tcW w:w="1134" w:type="dxa"/>
          </w:tcPr>
          <w:p w:rsidR="00291620" w:rsidRPr="007578C2" w:rsidRDefault="00291620" w:rsidP="00291620">
            <w:pPr>
              <w:spacing w:before="240"/>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3 033</w:t>
            </w:r>
          </w:p>
        </w:tc>
        <w:tc>
          <w:tcPr>
            <w:tcW w:w="1134" w:type="dxa"/>
          </w:tcPr>
          <w:p w:rsidR="00291620" w:rsidRPr="007578C2" w:rsidRDefault="00291620" w:rsidP="00291620">
            <w:pPr>
              <w:spacing w:before="240"/>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966</w:t>
            </w:r>
          </w:p>
        </w:tc>
        <w:tc>
          <w:tcPr>
            <w:tcW w:w="1134" w:type="dxa"/>
          </w:tcPr>
          <w:p w:rsidR="00291620" w:rsidRPr="007578C2" w:rsidRDefault="00291620" w:rsidP="00291620">
            <w:pPr>
              <w:spacing w:before="240"/>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805</w:t>
            </w:r>
          </w:p>
        </w:tc>
        <w:tc>
          <w:tcPr>
            <w:tcW w:w="1276" w:type="dxa"/>
          </w:tcPr>
          <w:p w:rsidR="00291620" w:rsidRPr="007578C2" w:rsidRDefault="00291620" w:rsidP="00291620">
            <w:pPr>
              <w:spacing w:before="240"/>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90 001,6</w:t>
            </w:r>
          </w:p>
        </w:tc>
        <w:tc>
          <w:tcPr>
            <w:tcW w:w="1417" w:type="dxa"/>
          </w:tcPr>
          <w:p w:rsidR="00291620" w:rsidRPr="007578C2" w:rsidRDefault="00291620" w:rsidP="00291620">
            <w:pPr>
              <w:spacing w:before="240"/>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620 794,8</w:t>
            </w:r>
          </w:p>
        </w:tc>
        <w:tc>
          <w:tcPr>
            <w:tcW w:w="992" w:type="dxa"/>
          </w:tcPr>
          <w:p w:rsidR="00291620" w:rsidRPr="007578C2" w:rsidRDefault="00291620" w:rsidP="00291620">
            <w:pPr>
              <w:spacing w:before="240"/>
              <w:jc w:val="center"/>
              <w:rPr>
                <w:rFonts w:ascii="Times New Roman" w:eastAsia="Times New Roman" w:hAnsi="Times New Roman" w:cs="Times New Roman"/>
                <w:color w:val="000000"/>
                <w:sz w:val="20"/>
                <w:szCs w:val="20"/>
              </w:rPr>
            </w:pPr>
            <w:r w:rsidRPr="007578C2">
              <w:rPr>
                <w:rFonts w:ascii="Times New Roman" w:eastAsia="Times New Roman" w:hAnsi="Times New Roman" w:cs="Times New Roman"/>
                <w:color w:val="000000"/>
                <w:sz w:val="20"/>
                <w:szCs w:val="20"/>
              </w:rPr>
              <w:t>2,4</w:t>
            </w:r>
          </w:p>
          <w:p w:rsidR="00291620" w:rsidRPr="007578C2" w:rsidRDefault="00291620" w:rsidP="00291620">
            <w:pPr>
              <w:spacing w:before="240"/>
              <w:jc w:val="center"/>
              <w:rPr>
                <w:rFonts w:ascii="Times New Roman" w:eastAsia="Calibri" w:hAnsi="Times New Roman" w:cs="Times New Roman"/>
                <w:sz w:val="20"/>
                <w:szCs w:val="20"/>
              </w:rPr>
            </w:pPr>
          </w:p>
        </w:tc>
        <w:tc>
          <w:tcPr>
            <w:tcW w:w="993" w:type="dxa"/>
          </w:tcPr>
          <w:p w:rsidR="00291620" w:rsidRPr="007578C2" w:rsidRDefault="00291620" w:rsidP="00291620">
            <w:pPr>
              <w:spacing w:before="240"/>
              <w:jc w:val="center"/>
              <w:rPr>
                <w:rFonts w:ascii="Times New Roman" w:eastAsia="Times New Roman" w:hAnsi="Times New Roman" w:cs="Times New Roman"/>
                <w:color w:val="000000"/>
                <w:sz w:val="20"/>
                <w:szCs w:val="20"/>
              </w:rPr>
            </w:pPr>
            <w:r w:rsidRPr="007578C2">
              <w:rPr>
                <w:rFonts w:ascii="Times New Roman" w:eastAsia="Times New Roman" w:hAnsi="Times New Roman" w:cs="Times New Roman"/>
                <w:color w:val="000000"/>
                <w:sz w:val="20"/>
                <w:szCs w:val="20"/>
              </w:rPr>
              <w:t>7,5</w:t>
            </w:r>
          </w:p>
          <w:p w:rsidR="00291620" w:rsidRPr="007578C2" w:rsidRDefault="00291620" w:rsidP="00291620">
            <w:pPr>
              <w:spacing w:before="240"/>
              <w:jc w:val="center"/>
              <w:rPr>
                <w:rFonts w:ascii="Times New Roman" w:eastAsia="Calibri" w:hAnsi="Times New Roman" w:cs="Times New Roman"/>
                <w:sz w:val="20"/>
                <w:szCs w:val="20"/>
              </w:rPr>
            </w:pPr>
          </w:p>
        </w:tc>
      </w:tr>
      <w:tr w:rsidR="00291620" w:rsidRPr="007578C2" w:rsidTr="00081B78">
        <w:trPr>
          <w:trHeight w:val="686"/>
        </w:trPr>
        <w:tc>
          <w:tcPr>
            <w:tcW w:w="1702" w:type="dxa"/>
          </w:tcPr>
          <w:p w:rsidR="00291620" w:rsidRPr="007578C2" w:rsidRDefault="00291620" w:rsidP="00291620">
            <w:pPr>
              <w:spacing w:before="240"/>
              <w:rPr>
                <w:rFonts w:ascii="Times New Roman" w:eastAsia="Calibri" w:hAnsi="Times New Roman" w:cs="Times New Roman"/>
                <w:b/>
                <w:i/>
                <w:sz w:val="20"/>
                <w:szCs w:val="20"/>
              </w:rPr>
            </w:pPr>
            <w:r w:rsidRPr="007578C2">
              <w:rPr>
                <w:rFonts w:ascii="Times New Roman" w:eastAsia="Calibri" w:hAnsi="Times New Roman" w:cs="Times New Roman"/>
                <w:b/>
                <w:i/>
                <w:sz w:val="20"/>
                <w:szCs w:val="20"/>
              </w:rPr>
              <w:t>Северен централен район</w:t>
            </w:r>
          </w:p>
        </w:tc>
        <w:tc>
          <w:tcPr>
            <w:tcW w:w="1134" w:type="dxa"/>
          </w:tcPr>
          <w:p w:rsidR="00291620" w:rsidRPr="007578C2" w:rsidRDefault="00291620" w:rsidP="00291620">
            <w:pPr>
              <w:spacing w:before="240"/>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2 294</w:t>
            </w:r>
          </w:p>
        </w:tc>
        <w:tc>
          <w:tcPr>
            <w:tcW w:w="1134" w:type="dxa"/>
          </w:tcPr>
          <w:p w:rsidR="00291620" w:rsidRPr="007578C2" w:rsidRDefault="00291620" w:rsidP="00291620">
            <w:pPr>
              <w:spacing w:before="240"/>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3 558</w:t>
            </w:r>
          </w:p>
        </w:tc>
        <w:tc>
          <w:tcPr>
            <w:tcW w:w="1134" w:type="dxa"/>
          </w:tcPr>
          <w:p w:rsidR="00291620" w:rsidRPr="007578C2" w:rsidRDefault="00291620" w:rsidP="00291620">
            <w:pPr>
              <w:spacing w:before="240"/>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954</w:t>
            </w:r>
          </w:p>
          <w:p w:rsidR="00291620" w:rsidRPr="007578C2" w:rsidRDefault="00291620" w:rsidP="00291620">
            <w:pPr>
              <w:spacing w:before="240"/>
              <w:jc w:val="center"/>
              <w:rPr>
                <w:rFonts w:ascii="Times New Roman" w:eastAsia="Calibri" w:hAnsi="Times New Roman" w:cs="Times New Roman"/>
                <w:sz w:val="20"/>
                <w:szCs w:val="20"/>
              </w:rPr>
            </w:pPr>
          </w:p>
        </w:tc>
        <w:tc>
          <w:tcPr>
            <w:tcW w:w="1134" w:type="dxa"/>
          </w:tcPr>
          <w:p w:rsidR="00291620" w:rsidRPr="007578C2" w:rsidRDefault="00291620" w:rsidP="00291620">
            <w:pPr>
              <w:spacing w:before="240"/>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832</w:t>
            </w:r>
          </w:p>
        </w:tc>
        <w:tc>
          <w:tcPr>
            <w:tcW w:w="1276" w:type="dxa"/>
          </w:tcPr>
          <w:p w:rsidR="00291620" w:rsidRPr="007578C2" w:rsidRDefault="00291620" w:rsidP="00291620">
            <w:pPr>
              <w:spacing w:before="240"/>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484 601,2</w:t>
            </w:r>
          </w:p>
        </w:tc>
        <w:tc>
          <w:tcPr>
            <w:tcW w:w="1417" w:type="dxa"/>
          </w:tcPr>
          <w:p w:rsidR="00291620" w:rsidRPr="007578C2" w:rsidRDefault="00291620" w:rsidP="00291620">
            <w:pPr>
              <w:jc w:val="center"/>
              <w:rPr>
                <w:rFonts w:ascii="Times New Roman" w:eastAsia="Calibri" w:hAnsi="Times New Roman" w:cs="Times New Roman"/>
                <w:sz w:val="20"/>
                <w:szCs w:val="20"/>
              </w:rPr>
            </w:pPr>
          </w:p>
          <w:p w:rsidR="00291620" w:rsidRPr="007578C2" w:rsidRDefault="00291620" w:rsidP="00291620">
            <w:pPr>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876 758</w:t>
            </w:r>
          </w:p>
        </w:tc>
        <w:tc>
          <w:tcPr>
            <w:tcW w:w="992" w:type="dxa"/>
          </w:tcPr>
          <w:p w:rsidR="00291620" w:rsidRPr="007578C2" w:rsidRDefault="00291620" w:rsidP="00291620">
            <w:pPr>
              <w:spacing w:before="240"/>
              <w:jc w:val="center"/>
              <w:rPr>
                <w:rFonts w:ascii="Times New Roman" w:eastAsia="Times New Roman" w:hAnsi="Times New Roman" w:cs="Times New Roman"/>
                <w:color w:val="000000"/>
                <w:sz w:val="20"/>
                <w:szCs w:val="20"/>
              </w:rPr>
            </w:pPr>
            <w:r w:rsidRPr="007578C2">
              <w:rPr>
                <w:rFonts w:ascii="Times New Roman" w:eastAsia="Times New Roman" w:hAnsi="Times New Roman" w:cs="Times New Roman"/>
                <w:color w:val="000000"/>
                <w:sz w:val="20"/>
                <w:szCs w:val="20"/>
              </w:rPr>
              <w:t>1,8</w:t>
            </w:r>
          </w:p>
          <w:p w:rsidR="00291620" w:rsidRPr="007578C2" w:rsidRDefault="00291620" w:rsidP="00291620">
            <w:pPr>
              <w:spacing w:before="240"/>
              <w:jc w:val="center"/>
              <w:rPr>
                <w:rFonts w:ascii="Times New Roman" w:eastAsia="Calibri" w:hAnsi="Times New Roman" w:cs="Times New Roman"/>
                <w:sz w:val="20"/>
                <w:szCs w:val="20"/>
              </w:rPr>
            </w:pPr>
          </w:p>
        </w:tc>
        <w:tc>
          <w:tcPr>
            <w:tcW w:w="993" w:type="dxa"/>
          </w:tcPr>
          <w:p w:rsidR="00291620" w:rsidRPr="007578C2" w:rsidRDefault="00291620" w:rsidP="00291620">
            <w:pPr>
              <w:spacing w:before="240"/>
              <w:jc w:val="center"/>
              <w:rPr>
                <w:rFonts w:ascii="Times New Roman" w:eastAsia="Times New Roman" w:hAnsi="Times New Roman" w:cs="Times New Roman"/>
                <w:color w:val="000000"/>
                <w:sz w:val="20"/>
                <w:szCs w:val="20"/>
              </w:rPr>
            </w:pPr>
            <w:r w:rsidRPr="007578C2">
              <w:rPr>
                <w:rFonts w:ascii="Times New Roman" w:eastAsia="Times New Roman" w:hAnsi="Times New Roman" w:cs="Times New Roman"/>
                <w:color w:val="000000"/>
                <w:sz w:val="20"/>
                <w:szCs w:val="20"/>
              </w:rPr>
              <w:t>6,5</w:t>
            </w:r>
          </w:p>
          <w:p w:rsidR="00291620" w:rsidRPr="007578C2" w:rsidRDefault="00291620" w:rsidP="00291620">
            <w:pPr>
              <w:spacing w:before="240"/>
              <w:jc w:val="center"/>
              <w:rPr>
                <w:rFonts w:ascii="Times New Roman" w:eastAsia="Calibri" w:hAnsi="Times New Roman" w:cs="Times New Roman"/>
                <w:sz w:val="20"/>
                <w:szCs w:val="20"/>
              </w:rPr>
            </w:pPr>
          </w:p>
        </w:tc>
      </w:tr>
      <w:tr w:rsidR="00291620" w:rsidRPr="007578C2" w:rsidTr="00081B78">
        <w:trPr>
          <w:trHeight w:val="669"/>
        </w:trPr>
        <w:tc>
          <w:tcPr>
            <w:tcW w:w="1702" w:type="dxa"/>
          </w:tcPr>
          <w:p w:rsidR="00291620" w:rsidRPr="007578C2" w:rsidRDefault="00291620" w:rsidP="00291620">
            <w:pPr>
              <w:spacing w:before="240"/>
              <w:rPr>
                <w:rFonts w:ascii="Times New Roman" w:eastAsia="Calibri" w:hAnsi="Times New Roman" w:cs="Times New Roman"/>
                <w:b/>
                <w:i/>
                <w:sz w:val="20"/>
                <w:szCs w:val="20"/>
              </w:rPr>
            </w:pPr>
            <w:r w:rsidRPr="007578C2">
              <w:rPr>
                <w:rFonts w:ascii="Times New Roman" w:eastAsia="Calibri" w:hAnsi="Times New Roman" w:cs="Times New Roman"/>
                <w:b/>
                <w:i/>
                <w:sz w:val="20"/>
                <w:szCs w:val="20"/>
              </w:rPr>
              <w:t>Североизточен район</w:t>
            </w:r>
          </w:p>
        </w:tc>
        <w:tc>
          <w:tcPr>
            <w:tcW w:w="1134" w:type="dxa"/>
          </w:tcPr>
          <w:p w:rsidR="00291620" w:rsidRPr="007578C2" w:rsidRDefault="00291620" w:rsidP="00291620">
            <w:pPr>
              <w:spacing w:before="240"/>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2 689</w:t>
            </w:r>
          </w:p>
        </w:tc>
        <w:tc>
          <w:tcPr>
            <w:tcW w:w="1134" w:type="dxa"/>
          </w:tcPr>
          <w:p w:rsidR="00291620" w:rsidRPr="007578C2" w:rsidRDefault="00291620" w:rsidP="00291620">
            <w:pPr>
              <w:spacing w:before="240"/>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4 759</w:t>
            </w:r>
          </w:p>
        </w:tc>
        <w:tc>
          <w:tcPr>
            <w:tcW w:w="1134" w:type="dxa"/>
          </w:tcPr>
          <w:p w:rsidR="00291620" w:rsidRPr="007578C2" w:rsidRDefault="00291620" w:rsidP="00291620">
            <w:pPr>
              <w:spacing w:before="240"/>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999</w:t>
            </w:r>
          </w:p>
        </w:tc>
        <w:tc>
          <w:tcPr>
            <w:tcW w:w="1134" w:type="dxa"/>
          </w:tcPr>
          <w:p w:rsidR="00291620" w:rsidRPr="007578C2" w:rsidRDefault="00291620" w:rsidP="00291620">
            <w:pPr>
              <w:spacing w:before="240"/>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953</w:t>
            </w:r>
          </w:p>
        </w:tc>
        <w:tc>
          <w:tcPr>
            <w:tcW w:w="1276" w:type="dxa"/>
          </w:tcPr>
          <w:p w:rsidR="00291620" w:rsidRPr="007578C2" w:rsidRDefault="00291620" w:rsidP="00291620">
            <w:pPr>
              <w:spacing w:before="240"/>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816 215</w:t>
            </w:r>
          </w:p>
        </w:tc>
        <w:tc>
          <w:tcPr>
            <w:tcW w:w="1417" w:type="dxa"/>
          </w:tcPr>
          <w:p w:rsidR="00291620" w:rsidRPr="007578C2" w:rsidRDefault="00291620" w:rsidP="00291620">
            <w:pPr>
              <w:jc w:val="center"/>
              <w:rPr>
                <w:rFonts w:ascii="Times New Roman" w:eastAsia="Calibri" w:hAnsi="Times New Roman" w:cs="Times New Roman"/>
                <w:sz w:val="20"/>
                <w:szCs w:val="20"/>
              </w:rPr>
            </w:pPr>
          </w:p>
          <w:p w:rsidR="00291620" w:rsidRPr="007578C2" w:rsidRDefault="00291620" w:rsidP="00291620">
            <w:pPr>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2 271 913,7</w:t>
            </w:r>
          </w:p>
        </w:tc>
        <w:tc>
          <w:tcPr>
            <w:tcW w:w="992" w:type="dxa"/>
          </w:tcPr>
          <w:p w:rsidR="00291620" w:rsidRPr="007578C2" w:rsidRDefault="00291620" w:rsidP="00291620">
            <w:pPr>
              <w:spacing w:before="240"/>
              <w:jc w:val="center"/>
              <w:rPr>
                <w:rFonts w:ascii="Times New Roman" w:eastAsia="Times New Roman" w:hAnsi="Times New Roman" w:cs="Times New Roman"/>
                <w:color w:val="000000"/>
                <w:sz w:val="20"/>
                <w:szCs w:val="20"/>
              </w:rPr>
            </w:pPr>
            <w:r w:rsidRPr="007578C2">
              <w:rPr>
                <w:rFonts w:ascii="Times New Roman" w:eastAsia="Times New Roman" w:hAnsi="Times New Roman" w:cs="Times New Roman"/>
                <w:color w:val="000000"/>
                <w:sz w:val="20"/>
                <w:szCs w:val="20"/>
              </w:rPr>
              <w:t>5,3</w:t>
            </w:r>
          </w:p>
          <w:p w:rsidR="00291620" w:rsidRPr="007578C2" w:rsidRDefault="00291620" w:rsidP="00291620">
            <w:pPr>
              <w:spacing w:before="240"/>
              <w:jc w:val="center"/>
              <w:rPr>
                <w:rFonts w:ascii="Times New Roman" w:eastAsia="Calibri" w:hAnsi="Times New Roman" w:cs="Times New Roman"/>
                <w:sz w:val="20"/>
                <w:szCs w:val="20"/>
              </w:rPr>
            </w:pPr>
          </w:p>
        </w:tc>
        <w:tc>
          <w:tcPr>
            <w:tcW w:w="993" w:type="dxa"/>
          </w:tcPr>
          <w:p w:rsidR="00291620" w:rsidRPr="007578C2" w:rsidRDefault="00291620" w:rsidP="00291620">
            <w:pPr>
              <w:spacing w:before="240"/>
              <w:jc w:val="center"/>
              <w:rPr>
                <w:rFonts w:ascii="Times New Roman" w:eastAsia="Times New Roman" w:hAnsi="Times New Roman" w:cs="Times New Roman"/>
                <w:color w:val="000000"/>
                <w:sz w:val="20"/>
                <w:szCs w:val="20"/>
              </w:rPr>
            </w:pPr>
            <w:r w:rsidRPr="007578C2">
              <w:rPr>
                <w:rFonts w:ascii="Times New Roman" w:eastAsia="Times New Roman" w:hAnsi="Times New Roman" w:cs="Times New Roman"/>
                <w:color w:val="000000"/>
                <w:sz w:val="20"/>
                <w:szCs w:val="20"/>
              </w:rPr>
              <w:t>18,1</w:t>
            </w:r>
          </w:p>
          <w:p w:rsidR="00291620" w:rsidRPr="007578C2" w:rsidRDefault="00291620" w:rsidP="00291620">
            <w:pPr>
              <w:spacing w:before="240"/>
              <w:jc w:val="center"/>
              <w:rPr>
                <w:rFonts w:ascii="Times New Roman" w:eastAsia="Calibri" w:hAnsi="Times New Roman" w:cs="Times New Roman"/>
                <w:sz w:val="20"/>
                <w:szCs w:val="20"/>
              </w:rPr>
            </w:pPr>
          </w:p>
        </w:tc>
      </w:tr>
      <w:tr w:rsidR="00291620" w:rsidRPr="007578C2" w:rsidTr="00081B78">
        <w:trPr>
          <w:trHeight w:val="686"/>
        </w:trPr>
        <w:tc>
          <w:tcPr>
            <w:tcW w:w="1702" w:type="dxa"/>
          </w:tcPr>
          <w:p w:rsidR="00291620" w:rsidRPr="007578C2" w:rsidRDefault="00291620" w:rsidP="00291620">
            <w:pPr>
              <w:spacing w:before="240"/>
              <w:rPr>
                <w:rFonts w:ascii="Times New Roman" w:eastAsia="Calibri" w:hAnsi="Times New Roman" w:cs="Times New Roman"/>
                <w:b/>
                <w:i/>
                <w:sz w:val="20"/>
                <w:szCs w:val="20"/>
              </w:rPr>
            </w:pPr>
            <w:r w:rsidRPr="007578C2">
              <w:rPr>
                <w:rFonts w:ascii="Times New Roman" w:eastAsia="Calibri" w:hAnsi="Times New Roman" w:cs="Times New Roman"/>
                <w:b/>
                <w:i/>
                <w:sz w:val="20"/>
                <w:szCs w:val="20"/>
              </w:rPr>
              <w:t>Югоизточен район</w:t>
            </w:r>
          </w:p>
        </w:tc>
        <w:tc>
          <w:tcPr>
            <w:tcW w:w="1134" w:type="dxa"/>
          </w:tcPr>
          <w:p w:rsidR="00291620" w:rsidRPr="007578C2" w:rsidRDefault="00291620" w:rsidP="00291620">
            <w:pPr>
              <w:spacing w:before="240"/>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3 285</w:t>
            </w:r>
          </w:p>
        </w:tc>
        <w:tc>
          <w:tcPr>
            <w:tcW w:w="1134" w:type="dxa"/>
          </w:tcPr>
          <w:p w:rsidR="00291620" w:rsidRPr="007578C2" w:rsidRDefault="00291620" w:rsidP="00291620">
            <w:pPr>
              <w:spacing w:before="240"/>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5 327</w:t>
            </w:r>
          </w:p>
        </w:tc>
        <w:tc>
          <w:tcPr>
            <w:tcW w:w="1134" w:type="dxa"/>
          </w:tcPr>
          <w:p w:rsidR="00291620" w:rsidRPr="007578C2" w:rsidRDefault="00291620" w:rsidP="00291620">
            <w:pPr>
              <w:spacing w:before="240"/>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1 137</w:t>
            </w:r>
          </w:p>
        </w:tc>
        <w:tc>
          <w:tcPr>
            <w:tcW w:w="1134" w:type="dxa"/>
          </w:tcPr>
          <w:p w:rsidR="00291620" w:rsidRPr="007578C2" w:rsidRDefault="00291620" w:rsidP="00291620">
            <w:pPr>
              <w:spacing w:before="240"/>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1 062</w:t>
            </w:r>
          </w:p>
        </w:tc>
        <w:tc>
          <w:tcPr>
            <w:tcW w:w="1276" w:type="dxa"/>
          </w:tcPr>
          <w:p w:rsidR="00291620" w:rsidRPr="007578C2" w:rsidRDefault="00291620" w:rsidP="00291620">
            <w:pPr>
              <w:spacing w:before="240"/>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882 127,2</w:t>
            </w:r>
          </w:p>
        </w:tc>
        <w:tc>
          <w:tcPr>
            <w:tcW w:w="1417" w:type="dxa"/>
          </w:tcPr>
          <w:p w:rsidR="00291620" w:rsidRPr="007578C2" w:rsidRDefault="00291620" w:rsidP="00291620">
            <w:pPr>
              <w:spacing w:before="240"/>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2 897 055,6</w:t>
            </w:r>
          </w:p>
          <w:p w:rsidR="00291620" w:rsidRPr="007578C2" w:rsidRDefault="00291620" w:rsidP="00291620">
            <w:pPr>
              <w:jc w:val="center"/>
              <w:rPr>
                <w:rFonts w:ascii="Times New Roman" w:eastAsia="Calibri" w:hAnsi="Times New Roman" w:cs="Times New Roman"/>
                <w:sz w:val="20"/>
                <w:szCs w:val="20"/>
              </w:rPr>
            </w:pPr>
          </w:p>
        </w:tc>
        <w:tc>
          <w:tcPr>
            <w:tcW w:w="992" w:type="dxa"/>
          </w:tcPr>
          <w:p w:rsidR="00291620" w:rsidRPr="007578C2" w:rsidRDefault="00291620" w:rsidP="00291620">
            <w:pPr>
              <w:spacing w:before="240"/>
              <w:jc w:val="center"/>
              <w:rPr>
                <w:rFonts w:ascii="Times New Roman" w:eastAsia="Times New Roman" w:hAnsi="Times New Roman" w:cs="Times New Roman"/>
                <w:color w:val="000000"/>
                <w:sz w:val="20"/>
                <w:szCs w:val="20"/>
              </w:rPr>
            </w:pPr>
            <w:r w:rsidRPr="007578C2">
              <w:rPr>
                <w:rFonts w:ascii="Times New Roman" w:eastAsia="Times New Roman" w:hAnsi="Times New Roman" w:cs="Times New Roman"/>
                <w:color w:val="000000"/>
                <w:sz w:val="20"/>
                <w:szCs w:val="20"/>
              </w:rPr>
              <w:t>2,4</w:t>
            </w:r>
          </w:p>
          <w:p w:rsidR="00291620" w:rsidRPr="007578C2" w:rsidRDefault="00291620" w:rsidP="00291620">
            <w:pPr>
              <w:spacing w:before="240"/>
              <w:jc w:val="center"/>
              <w:rPr>
                <w:rFonts w:ascii="Times New Roman" w:eastAsia="Calibri" w:hAnsi="Times New Roman" w:cs="Times New Roman"/>
                <w:sz w:val="20"/>
                <w:szCs w:val="20"/>
              </w:rPr>
            </w:pPr>
          </w:p>
        </w:tc>
        <w:tc>
          <w:tcPr>
            <w:tcW w:w="993" w:type="dxa"/>
          </w:tcPr>
          <w:p w:rsidR="00291620" w:rsidRPr="007578C2" w:rsidRDefault="00291620" w:rsidP="00291620">
            <w:pPr>
              <w:spacing w:before="240"/>
              <w:jc w:val="center"/>
              <w:rPr>
                <w:rFonts w:ascii="Times New Roman" w:eastAsia="Times New Roman" w:hAnsi="Times New Roman" w:cs="Times New Roman"/>
                <w:color w:val="000000"/>
                <w:sz w:val="20"/>
                <w:szCs w:val="20"/>
              </w:rPr>
            </w:pPr>
            <w:r w:rsidRPr="007578C2">
              <w:rPr>
                <w:rFonts w:ascii="Times New Roman" w:eastAsia="Times New Roman" w:hAnsi="Times New Roman" w:cs="Times New Roman"/>
                <w:color w:val="000000"/>
                <w:sz w:val="20"/>
                <w:szCs w:val="20"/>
              </w:rPr>
              <w:t>13,2</w:t>
            </w:r>
          </w:p>
          <w:p w:rsidR="00291620" w:rsidRPr="007578C2" w:rsidRDefault="00291620" w:rsidP="00291620">
            <w:pPr>
              <w:spacing w:before="240"/>
              <w:jc w:val="center"/>
              <w:rPr>
                <w:rFonts w:ascii="Times New Roman" w:eastAsia="Calibri" w:hAnsi="Times New Roman" w:cs="Times New Roman"/>
                <w:sz w:val="20"/>
                <w:szCs w:val="20"/>
              </w:rPr>
            </w:pPr>
          </w:p>
        </w:tc>
      </w:tr>
      <w:tr w:rsidR="00291620" w:rsidRPr="007578C2" w:rsidTr="00081B78">
        <w:trPr>
          <w:trHeight w:val="686"/>
        </w:trPr>
        <w:tc>
          <w:tcPr>
            <w:tcW w:w="1702" w:type="dxa"/>
          </w:tcPr>
          <w:p w:rsidR="00291620" w:rsidRPr="007578C2" w:rsidRDefault="00291620" w:rsidP="00291620">
            <w:pPr>
              <w:spacing w:before="240"/>
              <w:rPr>
                <w:rFonts w:ascii="Times New Roman" w:eastAsia="Calibri" w:hAnsi="Times New Roman" w:cs="Times New Roman"/>
                <w:b/>
                <w:i/>
                <w:sz w:val="20"/>
                <w:szCs w:val="20"/>
              </w:rPr>
            </w:pPr>
            <w:r w:rsidRPr="007578C2">
              <w:rPr>
                <w:rFonts w:ascii="Times New Roman" w:eastAsia="Calibri" w:hAnsi="Times New Roman" w:cs="Times New Roman"/>
                <w:b/>
                <w:i/>
                <w:sz w:val="20"/>
                <w:szCs w:val="20"/>
              </w:rPr>
              <w:t>Югозападен район</w:t>
            </w:r>
          </w:p>
        </w:tc>
        <w:tc>
          <w:tcPr>
            <w:tcW w:w="1134" w:type="dxa"/>
          </w:tcPr>
          <w:p w:rsidR="00291620" w:rsidRPr="007578C2" w:rsidRDefault="00291620" w:rsidP="00291620">
            <w:pPr>
              <w:spacing w:before="240"/>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9 748</w:t>
            </w:r>
          </w:p>
          <w:p w:rsidR="00291620" w:rsidRPr="007578C2" w:rsidRDefault="00291620" w:rsidP="00291620">
            <w:pPr>
              <w:spacing w:before="240"/>
              <w:jc w:val="center"/>
              <w:rPr>
                <w:rFonts w:ascii="Times New Roman" w:eastAsia="Calibri" w:hAnsi="Times New Roman" w:cs="Times New Roman"/>
                <w:sz w:val="20"/>
                <w:szCs w:val="20"/>
              </w:rPr>
            </w:pPr>
          </w:p>
        </w:tc>
        <w:tc>
          <w:tcPr>
            <w:tcW w:w="1134" w:type="dxa"/>
          </w:tcPr>
          <w:p w:rsidR="00291620" w:rsidRPr="007578C2" w:rsidRDefault="00291620" w:rsidP="00291620">
            <w:pPr>
              <w:spacing w:before="240"/>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20 238</w:t>
            </w:r>
          </w:p>
        </w:tc>
        <w:tc>
          <w:tcPr>
            <w:tcW w:w="1134" w:type="dxa"/>
          </w:tcPr>
          <w:p w:rsidR="00291620" w:rsidRPr="007578C2" w:rsidRDefault="00291620" w:rsidP="00291620">
            <w:pPr>
              <w:spacing w:before="240"/>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2 117</w:t>
            </w:r>
          </w:p>
          <w:p w:rsidR="00291620" w:rsidRPr="007578C2" w:rsidRDefault="00291620" w:rsidP="00291620">
            <w:pPr>
              <w:spacing w:before="240"/>
              <w:jc w:val="center"/>
              <w:rPr>
                <w:rFonts w:ascii="Times New Roman" w:eastAsia="Calibri" w:hAnsi="Times New Roman" w:cs="Times New Roman"/>
                <w:sz w:val="20"/>
                <w:szCs w:val="20"/>
              </w:rPr>
            </w:pPr>
          </w:p>
        </w:tc>
        <w:tc>
          <w:tcPr>
            <w:tcW w:w="1134" w:type="dxa"/>
          </w:tcPr>
          <w:p w:rsidR="00291620" w:rsidRPr="007578C2" w:rsidRDefault="00291620" w:rsidP="00291620">
            <w:pPr>
              <w:spacing w:before="240"/>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2 129</w:t>
            </w:r>
          </w:p>
        </w:tc>
        <w:tc>
          <w:tcPr>
            <w:tcW w:w="1276" w:type="dxa"/>
          </w:tcPr>
          <w:p w:rsidR="00291620" w:rsidRPr="007578C2" w:rsidRDefault="00291620" w:rsidP="00291620">
            <w:pPr>
              <w:spacing w:before="240"/>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5 858 543,7</w:t>
            </w:r>
          </w:p>
        </w:tc>
        <w:tc>
          <w:tcPr>
            <w:tcW w:w="1417" w:type="dxa"/>
          </w:tcPr>
          <w:p w:rsidR="00291620" w:rsidRPr="007578C2" w:rsidRDefault="00291620" w:rsidP="00291620">
            <w:pPr>
              <w:spacing w:before="240"/>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14 053 146,8</w:t>
            </w:r>
          </w:p>
          <w:p w:rsidR="00291620" w:rsidRPr="007578C2" w:rsidRDefault="00291620" w:rsidP="00291620">
            <w:pPr>
              <w:jc w:val="center"/>
              <w:rPr>
                <w:rFonts w:ascii="Times New Roman" w:eastAsia="Calibri" w:hAnsi="Times New Roman" w:cs="Times New Roman"/>
                <w:sz w:val="20"/>
                <w:szCs w:val="20"/>
              </w:rPr>
            </w:pPr>
          </w:p>
        </w:tc>
        <w:tc>
          <w:tcPr>
            <w:tcW w:w="992" w:type="dxa"/>
          </w:tcPr>
          <w:p w:rsidR="00291620" w:rsidRPr="007578C2" w:rsidRDefault="00291620" w:rsidP="00291620">
            <w:pPr>
              <w:spacing w:before="240"/>
              <w:jc w:val="center"/>
              <w:rPr>
                <w:rFonts w:ascii="Times New Roman" w:eastAsia="Times New Roman" w:hAnsi="Times New Roman" w:cs="Times New Roman"/>
                <w:color w:val="000000"/>
                <w:sz w:val="20"/>
                <w:szCs w:val="20"/>
              </w:rPr>
            </w:pPr>
            <w:r w:rsidRPr="007578C2">
              <w:rPr>
                <w:rFonts w:ascii="Times New Roman" w:eastAsia="Times New Roman" w:hAnsi="Times New Roman" w:cs="Times New Roman"/>
                <w:color w:val="000000"/>
                <w:sz w:val="20"/>
                <w:szCs w:val="20"/>
              </w:rPr>
              <w:t>42,1</w:t>
            </w:r>
          </w:p>
          <w:p w:rsidR="00291620" w:rsidRPr="007578C2" w:rsidRDefault="00291620" w:rsidP="00291620">
            <w:pPr>
              <w:spacing w:before="240"/>
              <w:jc w:val="center"/>
              <w:rPr>
                <w:rFonts w:ascii="Times New Roman" w:eastAsia="Calibri" w:hAnsi="Times New Roman" w:cs="Times New Roman"/>
                <w:sz w:val="20"/>
                <w:szCs w:val="20"/>
              </w:rPr>
            </w:pPr>
          </w:p>
        </w:tc>
        <w:tc>
          <w:tcPr>
            <w:tcW w:w="993" w:type="dxa"/>
          </w:tcPr>
          <w:p w:rsidR="00291620" w:rsidRPr="007578C2" w:rsidRDefault="00291620" w:rsidP="00291620">
            <w:pPr>
              <w:spacing w:before="240"/>
              <w:jc w:val="center"/>
              <w:rPr>
                <w:rFonts w:ascii="Times New Roman" w:eastAsia="Times New Roman" w:hAnsi="Times New Roman" w:cs="Times New Roman"/>
                <w:color w:val="000000"/>
                <w:sz w:val="20"/>
                <w:szCs w:val="20"/>
              </w:rPr>
            </w:pPr>
            <w:r w:rsidRPr="007578C2">
              <w:rPr>
                <w:rFonts w:ascii="Times New Roman" w:eastAsia="Times New Roman" w:hAnsi="Times New Roman" w:cs="Times New Roman"/>
                <w:color w:val="000000"/>
                <w:sz w:val="20"/>
                <w:szCs w:val="20"/>
              </w:rPr>
              <w:t>132,4</w:t>
            </w:r>
          </w:p>
          <w:p w:rsidR="00291620" w:rsidRPr="007578C2" w:rsidRDefault="00291620" w:rsidP="00291620">
            <w:pPr>
              <w:spacing w:before="240"/>
              <w:jc w:val="center"/>
              <w:rPr>
                <w:rFonts w:ascii="Times New Roman" w:eastAsia="Calibri" w:hAnsi="Times New Roman" w:cs="Times New Roman"/>
                <w:sz w:val="20"/>
                <w:szCs w:val="20"/>
              </w:rPr>
            </w:pPr>
          </w:p>
        </w:tc>
      </w:tr>
      <w:tr w:rsidR="00291620" w:rsidRPr="007578C2" w:rsidTr="00081B78">
        <w:trPr>
          <w:trHeight w:val="686"/>
        </w:trPr>
        <w:tc>
          <w:tcPr>
            <w:tcW w:w="1702" w:type="dxa"/>
          </w:tcPr>
          <w:p w:rsidR="00291620" w:rsidRPr="007578C2" w:rsidRDefault="00291620" w:rsidP="00291620">
            <w:pPr>
              <w:spacing w:before="240"/>
              <w:rPr>
                <w:rFonts w:ascii="Times New Roman" w:eastAsia="Calibri" w:hAnsi="Times New Roman" w:cs="Times New Roman"/>
                <w:b/>
                <w:i/>
                <w:sz w:val="20"/>
                <w:szCs w:val="20"/>
              </w:rPr>
            </w:pPr>
            <w:r w:rsidRPr="007578C2">
              <w:rPr>
                <w:rFonts w:ascii="Times New Roman" w:eastAsia="Calibri" w:hAnsi="Times New Roman" w:cs="Times New Roman"/>
                <w:b/>
                <w:i/>
                <w:sz w:val="20"/>
                <w:szCs w:val="20"/>
              </w:rPr>
              <w:t>Южен централен район</w:t>
            </w:r>
          </w:p>
        </w:tc>
        <w:tc>
          <w:tcPr>
            <w:tcW w:w="1134" w:type="dxa"/>
          </w:tcPr>
          <w:p w:rsidR="00291620" w:rsidRPr="007578C2" w:rsidRDefault="00291620" w:rsidP="00291620">
            <w:pPr>
              <w:spacing w:before="240"/>
              <w:jc w:val="center"/>
              <w:rPr>
                <w:rFonts w:ascii="Times New Roman" w:eastAsia="Times New Roman" w:hAnsi="Times New Roman" w:cs="Times New Roman"/>
                <w:color w:val="000000"/>
                <w:sz w:val="20"/>
                <w:szCs w:val="20"/>
              </w:rPr>
            </w:pPr>
            <w:r w:rsidRPr="007578C2">
              <w:rPr>
                <w:rFonts w:ascii="Times New Roman" w:eastAsia="Times New Roman" w:hAnsi="Times New Roman" w:cs="Times New Roman"/>
                <w:color w:val="000000"/>
                <w:sz w:val="20"/>
                <w:szCs w:val="20"/>
              </w:rPr>
              <w:t>3 727</w:t>
            </w:r>
          </w:p>
          <w:p w:rsidR="00291620" w:rsidRPr="007578C2" w:rsidRDefault="00291620" w:rsidP="00291620">
            <w:pPr>
              <w:spacing w:before="240"/>
              <w:jc w:val="center"/>
              <w:rPr>
                <w:rFonts w:ascii="Times New Roman" w:eastAsia="Calibri" w:hAnsi="Times New Roman" w:cs="Times New Roman"/>
                <w:sz w:val="20"/>
                <w:szCs w:val="20"/>
              </w:rPr>
            </w:pPr>
          </w:p>
        </w:tc>
        <w:tc>
          <w:tcPr>
            <w:tcW w:w="1134" w:type="dxa"/>
          </w:tcPr>
          <w:p w:rsidR="00291620" w:rsidRPr="007578C2" w:rsidRDefault="00291620" w:rsidP="00291620">
            <w:pPr>
              <w:spacing w:before="240"/>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5 835</w:t>
            </w:r>
          </w:p>
        </w:tc>
        <w:tc>
          <w:tcPr>
            <w:tcW w:w="1134" w:type="dxa"/>
          </w:tcPr>
          <w:p w:rsidR="00291620" w:rsidRPr="007578C2" w:rsidRDefault="00291620" w:rsidP="00291620">
            <w:pPr>
              <w:spacing w:before="240"/>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1 566</w:t>
            </w:r>
          </w:p>
        </w:tc>
        <w:tc>
          <w:tcPr>
            <w:tcW w:w="1134" w:type="dxa"/>
          </w:tcPr>
          <w:p w:rsidR="00291620" w:rsidRPr="007578C2" w:rsidRDefault="00291620" w:rsidP="00291620">
            <w:pPr>
              <w:spacing w:before="240"/>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1 452</w:t>
            </w:r>
          </w:p>
        </w:tc>
        <w:tc>
          <w:tcPr>
            <w:tcW w:w="1276" w:type="dxa"/>
          </w:tcPr>
          <w:p w:rsidR="00291620" w:rsidRPr="007578C2" w:rsidRDefault="00291620" w:rsidP="00291620">
            <w:pPr>
              <w:spacing w:before="240"/>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1 064 564,1</w:t>
            </w:r>
          </w:p>
        </w:tc>
        <w:tc>
          <w:tcPr>
            <w:tcW w:w="1417" w:type="dxa"/>
          </w:tcPr>
          <w:p w:rsidR="00291620" w:rsidRPr="007578C2" w:rsidRDefault="00291620" w:rsidP="00291620">
            <w:pPr>
              <w:spacing w:before="240"/>
              <w:jc w:val="center"/>
              <w:rPr>
                <w:rFonts w:ascii="Times New Roman" w:eastAsia="Calibri" w:hAnsi="Times New Roman" w:cs="Times New Roman"/>
                <w:sz w:val="20"/>
                <w:szCs w:val="20"/>
              </w:rPr>
            </w:pPr>
            <w:r w:rsidRPr="007578C2">
              <w:rPr>
                <w:rFonts w:ascii="Times New Roman" w:eastAsia="Calibri" w:hAnsi="Times New Roman" w:cs="Times New Roman"/>
                <w:sz w:val="20"/>
                <w:szCs w:val="20"/>
              </w:rPr>
              <w:t>2 443 603,8</w:t>
            </w:r>
          </w:p>
        </w:tc>
        <w:tc>
          <w:tcPr>
            <w:tcW w:w="992" w:type="dxa"/>
          </w:tcPr>
          <w:p w:rsidR="00291620" w:rsidRPr="007578C2" w:rsidRDefault="00291620" w:rsidP="00291620">
            <w:pPr>
              <w:spacing w:before="240"/>
              <w:jc w:val="center"/>
              <w:rPr>
                <w:rFonts w:ascii="Times New Roman" w:eastAsia="Times New Roman" w:hAnsi="Times New Roman" w:cs="Times New Roman"/>
                <w:color w:val="000000"/>
                <w:sz w:val="20"/>
                <w:szCs w:val="20"/>
              </w:rPr>
            </w:pPr>
            <w:r w:rsidRPr="007578C2">
              <w:rPr>
                <w:rFonts w:ascii="Times New Roman" w:eastAsia="Times New Roman" w:hAnsi="Times New Roman" w:cs="Times New Roman"/>
                <w:color w:val="000000"/>
                <w:sz w:val="20"/>
                <w:szCs w:val="20"/>
              </w:rPr>
              <w:t>3,3</w:t>
            </w:r>
          </w:p>
          <w:p w:rsidR="00291620" w:rsidRPr="007578C2" w:rsidRDefault="00291620" w:rsidP="00291620">
            <w:pPr>
              <w:spacing w:before="240"/>
              <w:jc w:val="center"/>
              <w:rPr>
                <w:rFonts w:ascii="Times New Roman" w:eastAsia="Calibri" w:hAnsi="Times New Roman" w:cs="Times New Roman"/>
                <w:sz w:val="20"/>
                <w:szCs w:val="20"/>
              </w:rPr>
            </w:pPr>
          </w:p>
        </w:tc>
        <w:tc>
          <w:tcPr>
            <w:tcW w:w="993" w:type="dxa"/>
          </w:tcPr>
          <w:p w:rsidR="00291620" w:rsidRPr="007578C2" w:rsidRDefault="00291620" w:rsidP="00291620">
            <w:pPr>
              <w:spacing w:before="240"/>
              <w:jc w:val="center"/>
              <w:rPr>
                <w:rFonts w:ascii="Times New Roman" w:eastAsia="Times New Roman" w:hAnsi="Times New Roman" w:cs="Times New Roman"/>
                <w:color w:val="000000"/>
                <w:sz w:val="20"/>
                <w:szCs w:val="20"/>
              </w:rPr>
            </w:pPr>
            <w:r w:rsidRPr="007578C2">
              <w:rPr>
                <w:rFonts w:ascii="Times New Roman" w:eastAsia="Times New Roman" w:hAnsi="Times New Roman" w:cs="Times New Roman"/>
                <w:color w:val="000000"/>
                <w:sz w:val="20"/>
                <w:szCs w:val="20"/>
              </w:rPr>
              <w:t>10,6</w:t>
            </w:r>
          </w:p>
          <w:p w:rsidR="00291620" w:rsidRPr="007578C2" w:rsidRDefault="00291620" w:rsidP="00291620">
            <w:pPr>
              <w:spacing w:before="240"/>
              <w:jc w:val="center"/>
              <w:rPr>
                <w:rFonts w:ascii="Times New Roman" w:eastAsia="Calibri" w:hAnsi="Times New Roman" w:cs="Times New Roman"/>
                <w:sz w:val="20"/>
                <w:szCs w:val="20"/>
              </w:rPr>
            </w:pPr>
          </w:p>
        </w:tc>
      </w:tr>
    </w:tbl>
    <w:p w:rsidR="00291620" w:rsidRPr="007578C2" w:rsidRDefault="00291620" w:rsidP="00291620">
      <w:pPr>
        <w:spacing w:after="200" w:line="276" w:lineRule="auto"/>
        <w:jc w:val="right"/>
        <w:rPr>
          <w:rFonts w:ascii="Times New Roman" w:eastAsia="Calibri" w:hAnsi="Times New Roman" w:cs="Times New Roman"/>
        </w:rPr>
      </w:pPr>
      <w:r w:rsidRPr="007578C2">
        <w:rPr>
          <w:rFonts w:ascii="Times New Roman" w:eastAsia="Calibri" w:hAnsi="Times New Roman" w:cs="Times New Roman"/>
        </w:rPr>
        <w:t>Източник: Евростат</w:t>
      </w:r>
    </w:p>
    <w:p w:rsidR="00291620" w:rsidRPr="007578C2" w:rsidRDefault="00291620" w:rsidP="00291620">
      <w:pPr>
        <w:spacing w:after="200" w:line="276" w:lineRule="auto"/>
        <w:rPr>
          <w:rFonts w:ascii="Times New Roman" w:eastAsia="Calibri" w:hAnsi="Times New Roman" w:cs="Times New Roman"/>
          <w:sz w:val="24"/>
          <w:szCs w:val="24"/>
        </w:rPr>
      </w:pPr>
    </w:p>
    <w:p w:rsidR="00291620" w:rsidRPr="00086219" w:rsidRDefault="00086219" w:rsidP="00291620">
      <w:pPr>
        <w:spacing w:after="200" w:line="276" w:lineRule="auto"/>
        <w:rPr>
          <w:rFonts w:ascii="Times New Roman" w:eastAsia="Calibri" w:hAnsi="Times New Roman" w:cs="Times New Roman"/>
          <w:b/>
          <w:sz w:val="24"/>
          <w:szCs w:val="24"/>
        </w:rPr>
      </w:pPr>
      <w:r w:rsidRPr="00086219">
        <w:rPr>
          <w:rFonts w:ascii="Times New Roman" w:eastAsia="Calibri" w:hAnsi="Times New Roman" w:cs="Times New Roman"/>
          <w:b/>
          <w:sz w:val="24"/>
          <w:szCs w:val="24"/>
        </w:rPr>
        <w:t xml:space="preserve">Таблица </w:t>
      </w:r>
      <w:r w:rsidRPr="00086219">
        <w:rPr>
          <w:rFonts w:ascii="Times New Roman" w:eastAsia="Calibri" w:hAnsi="Times New Roman" w:cs="Times New Roman"/>
          <w:b/>
          <w:sz w:val="24"/>
          <w:szCs w:val="24"/>
          <w:lang w:val="en-US"/>
        </w:rPr>
        <w:t>4</w:t>
      </w:r>
      <w:r w:rsidR="00291620" w:rsidRPr="00086219">
        <w:rPr>
          <w:rFonts w:ascii="Times New Roman" w:eastAsia="Calibri" w:hAnsi="Times New Roman" w:cs="Times New Roman"/>
          <w:b/>
          <w:sz w:val="24"/>
          <w:szCs w:val="24"/>
        </w:rPr>
        <w:t>. Демографски показатели на районите от ниво 2 (2005 – 2015 г.)</w:t>
      </w:r>
    </w:p>
    <w:tbl>
      <w:tblPr>
        <w:tblStyle w:val="TableGrid"/>
        <w:tblW w:w="5699" w:type="pct"/>
        <w:tblInd w:w="-601" w:type="dxa"/>
        <w:tblLayout w:type="fixed"/>
        <w:tblLook w:val="04A0" w:firstRow="1" w:lastRow="0" w:firstColumn="1" w:lastColumn="0" w:noHBand="0" w:noVBand="1"/>
      </w:tblPr>
      <w:tblGrid>
        <w:gridCol w:w="1787"/>
        <w:gridCol w:w="1376"/>
        <w:gridCol w:w="1374"/>
        <w:gridCol w:w="1101"/>
        <w:gridCol w:w="963"/>
        <w:gridCol w:w="824"/>
        <w:gridCol w:w="828"/>
        <w:gridCol w:w="1099"/>
        <w:gridCol w:w="1234"/>
      </w:tblGrid>
      <w:tr w:rsidR="00291620" w:rsidRPr="007578C2" w:rsidTr="00081B78">
        <w:tc>
          <w:tcPr>
            <w:tcW w:w="844" w:type="pct"/>
            <w:vMerge w:val="restart"/>
          </w:tcPr>
          <w:p w:rsidR="00291620" w:rsidRPr="007578C2" w:rsidRDefault="00291620" w:rsidP="00291620">
            <w:pPr>
              <w:rPr>
                <w:rFonts w:ascii="Times New Roman" w:eastAsia="Calibri" w:hAnsi="Times New Roman" w:cs="Times New Roman"/>
                <w:sz w:val="20"/>
                <w:szCs w:val="20"/>
              </w:rPr>
            </w:pPr>
          </w:p>
        </w:tc>
        <w:tc>
          <w:tcPr>
            <w:tcW w:w="1299" w:type="pct"/>
            <w:gridSpan w:val="2"/>
            <w:vAlign w:val="bottom"/>
          </w:tcPr>
          <w:p w:rsidR="00291620" w:rsidRPr="007578C2" w:rsidRDefault="00291620" w:rsidP="00291620">
            <w:pPr>
              <w:jc w:val="center"/>
              <w:rPr>
                <w:rFonts w:ascii="Times New Roman" w:eastAsia="Calibri" w:hAnsi="Times New Roman" w:cs="Times New Roman"/>
                <w:b/>
                <w:color w:val="000000"/>
                <w:sz w:val="20"/>
                <w:szCs w:val="20"/>
              </w:rPr>
            </w:pPr>
            <w:r w:rsidRPr="007578C2">
              <w:rPr>
                <w:rFonts w:ascii="Times New Roman" w:eastAsia="Calibri" w:hAnsi="Times New Roman" w:cs="Times New Roman"/>
                <w:b/>
                <w:color w:val="000000"/>
                <w:sz w:val="20"/>
                <w:szCs w:val="20"/>
              </w:rPr>
              <w:t>Брой население</w:t>
            </w:r>
          </w:p>
        </w:tc>
        <w:tc>
          <w:tcPr>
            <w:tcW w:w="975" w:type="pct"/>
            <w:gridSpan w:val="2"/>
            <w:vAlign w:val="bottom"/>
          </w:tcPr>
          <w:p w:rsidR="00291620" w:rsidRPr="007578C2" w:rsidRDefault="00291620" w:rsidP="00291620">
            <w:pPr>
              <w:jc w:val="center"/>
              <w:rPr>
                <w:rFonts w:ascii="Times New Roman" w:eastAsia="Calibri" w:hAnsi="Times New Roman" w:cs="Times New Roman"/>
                <w:b/>
                <w:color w:val="000000"/>
                <w:sz w:val="20"/>
                <w:szCs w:val="20"/>
              </w:rPr>
            </w:pPr>
            <w:r w:rsidRPr="007578C2">
              <w:rPr>
                <w:rFonts w:ascii="Times New Roman" w:eastAsia="Calibri" w:hAnsi="Times New Roman" w:cs="Times New Roman"/>
                <w:b/>
                <w:color w:val="000000"/>
                <w:sz w:val="20"/>
                <w:szCs w:val="20"/>
              </w:rPr>
              <w:t>Естествен прираст (%)</w:t>
            </w:r>
          </w:p>
        </w:tc>
        <w:tc>
          <w:tcPr>
            <w:tcW w:w="780" w:type="pct"/>
            <w:gridSpan w:val="2"/>
            <w:vAlign w:val="bottom"/>
          </w:tcPr>
          <w:p w:rsidR="00291620" w:rsidRPr="007578C2" w:rsidRDefault="00291620" w:rsidP="00291620">
            <w:pPr>
              <w:jc w:val="center"/>
              <w:rPr>
                <w:rFonts w:ascii="Times New Roman" w:eastAsia="Calibri" w:hAnsi="Times New Roman" w:cs="Times New Roman"/>
                <w:b/>
                <w:color w:val="000000"/>
                <w:sz w:val="20"/>
                <w:szCs w:val="20"/>
              </w:rPr>
            </w:pPr>
            <w:r w:rsidRPr="007578C2">
              <w:rPr>
                <w:rFonts w:ascii="Times New Roman" w:eastAsia="Calibri" w:hAnsi="Times New Roman" w:cs="Times New Roman"/>
                <w:b/>
                <w:color w:val="000000"/>
                <w:sz w:val="20"/>
                <w:szCs w:val="20"/>
              </w:rPr>
              <w:t>Коефициент на заетост (%)</w:t>
            </w:r>
          </w:p>
        </w:tc>
        <w:tc>
          <w:tcPr>
            <w:tcW w:w="1102" w:type="pct"/>
            <w:gridSpan w:val="2"/>
            <w:vAlign w:val="bottom"/>
          </w:tcPr>
          <w:p w:rsidR="00291620" w:rsidRPr="007578C2" w:rsidRDefault="00291620" w:rsidP="00291620">
            <w:pPr>
              <w:jc w:val="center"/>
              <w:rPr>
                <w:rFonts w:ascii="Times New Roman" w:eastAsia="Calibri" w:hAnsi="Times New Roman" w:cs="Times New Roman"/>
                <w:b/>
                <w:color w:val="000000"/>
                <w:sz w:val="20"/>
                <w:szCs w:val="20"/>
              </w:rPr>
            </w:pPr>
            <w:r w:rsidRPr="007578C2">
              <w:rPr>
                <w:rFonts w:ascii="Times New Roman" w:eastAsia="Calibri" w:hAnsi="Times New Roman" w:cs="Times New Roman"/>
                <w:b/>
                <w:color w:val="000000"/>
                <w:sz w:val="20"/>
                <w:szCs w:val="20"/>
              </w:rPr>
              <w:t>Безработица (%)</w:t>
            </w:r>
          </w:p>
        </w:tc>
      </w:tr>
      <w:tr w:rsidR="00291620" w:rsidRPr="007578C2" w:rsidTr="00081B78">
        <w:tc>
          <w:tcPr>
            <w:tcW w:w="844" w:type="pct"/>
            <w:vMerge/>
          </w:tcPr>
          <w:p w:rsidR="00291620" w:rsidRPr="007578C2" w:rsidRDefault="00291620" w:rsidP="00291620">
            <w:pPr>
              <w:rPr>
                <w:rFonts w:ascii="Times New Roman" w:eastAsia="Calibri" w:hAnsi="Times New Roman" w:cs="Times New Roman"/>
                <w:sz w:val="20"/>
                <w:szCs w:val="20"/>
              </w:rPr>
            </w:pPr>
          </w:p>
        </w:tc>
        <w:tc>
          <w:tcPr>
            <w:tcW w:w="650" w:type="pct"/>
            <w:vAlign w:val="bottom"/>
          </w:tcPr>
          <w:p w:rsidR="00291620" w:rsidRPr="007578C2" w:rsidRDefault="00291620" w:rsidP="00291620">
            <w:pPr>
              <w:jc w:val="center"/>
              <w:rPr>
                <w:rFonts w:ascii="Times New Roman" w:eastAsia="Calibri" w:hAnsi="Times New Roman" w:cs="Times New Roman"/>
                <w:b/>
                <w:color w:val="000000"/>
                <w:sz w:val="20"/>
                <w:szCs w:val="20"/>
              </w:rPr>
            </w:pPr>
            <w:r w:rsidRPr="007578C2">
              <w:rPr>
                <w:rFonts w:ascii="Times New Roman" w:eastAsia="Calibri" w:hAnsi="Times New Roman" w:cs="Times New Roman"/>
                <w:b/>
                <w:color w:val="000000"/>
                <w:sz w:val="20"/>
                <w:szCs w:val="20"/>
              </w:rPr>
              <w:t>2005 г.</w:t>
            </w:r>
          </w:p>
        </w:tc>
        <w:tc>
          <w:tcPr>
            <w:tcW w:w="649" w:type="pct"/>
            <w:vAlign w:val="bottom"/>
          </w:tcPr>
          <w:p w:rsidR="00291620" w:rsidRPr="007578C2" w:rsidRDefault="00291620" w:rsidP="00291620">
            <w:pPr>
              <w:jc w:val="center"/>
              <w:rPr>
                <w:rFonts w:ascii="Times New Roman" w:eastAsia="Calibri" w:hAnsi="Times New Roman" w:cs="Times New Roman"/>
                <w:b/>
                <w:color w:val="000000"/>
                <w:sz w:val="20"/>
                <w:szCs w:val="20"/>
              </w:rPr>
            </w:pPr>
            <w:r w:rsidRPr="007578C2">
              <w:rPr>
                <w:rFonts w:ascii="Times New Roman" w:eastAsia="Calibri" w:hAnsi="Times New Roman" w:cs="Times New Roman"/>
                <w:b/>
                <w:color w:val="000000"/>
                <w:sz w:val="20"/>
                <w:szCs w:val="20"/>
              </w:rPr>
              <w:t>2015г.</w:t>
            </w:r>
          </w:p>
        </w:tc>
        <w:tc>
          <w:tcPr>
            <w:tcW w:w="520" w:type="pct"/>
            <w:vAlign w:val="bottom"/>
          </w:tcPr>
          <w:p w:rsidR="00291620" w:rsidRPr="007578C2" w:rsidRDefault="00291620" w:rsidP="00291620">
            <w:pPr>
              <w:jc w:val="center"/>
              <w:rPr>
                <w:rFonts w:ascii="Times New Roman" w:eastAsia="Calibri" w:hAnsi="Times New Roman" w:cs="Times New Roman"/>
                <w:b/>
                <w:color w:val="000000"/>
                <w:sz w:val="20"/>
                <w:szCs w:val="20"/>
              </w:rPr>
            </w:pPr>
            <w:r w:rsidRPr="007578C2">
              <w:rPr>
                <w:rFonts w:ascii="Times New Roman" w:eastAsia="Calibri" w:hAnsi="Times New Roman" w:cs="Times New Roman"/>
                <w:b/>
                <w:color w:val="000000"/>
                <w:sz w:val="20"/>
                <w:szCs w:val="20"/>
              </w:rPr>
              <w:t>2005 г.</w:t>
            </w:r>
          </w:p>
        </w:tc>
        <w:tc>
          <w:tcPr>
            <w:tcW w:w="455" w:type="pct"/>
            <w:vAlign w:val="bottom"/>
          </w:tcPr>
          <w:p w:rsidR="00291620" w:rsidRPr="007578C2" w:rsidRDefault="00291620" w:rsidP="00291620">
            <w:pPr>
              <w:jc w:val="center"/>
              <w:rPr>
                <w:rFonts w:ascii="Times New Roman" w:eastAsia="Calibri" w:hAnsi="Times New Roman" w:cs="Times New Roman"/>
                <w:b/>
                <w:color w:val="000000"/>
                <w:sz w:val="20"/>
                <w:szCs w:val="20"/>
              </w:rPr>
            </w:pPr>
            <w:r w:rsidRPr="007578C2">
              <w:rPr>
                <w:rFonts w:ascii="Times New Roman" w:eastAsia="Calibri" w:hAnsi="Times New Roman" w:cs="Times New Roman"/>
                <w:b/>
                <w:color w:val="000000"/>
                <w:sz w:val="20"/>
                <w:szCs w:val="20"/>
              </w:rPr>
              <w:t>2015 г.</w:t>
            </w:r>
          </w:p>
        </w:tc>
        <w:tc>
          <w:tcPr>
            <w:tcW w:w="389" w:type="pct"/>
            <w:vAlign w:val="bottom"/>
          </w:tcPr>
          <w:p w:rsidR="00291620" w:rsidRPr="007578C2" w:rsidRDefault="00291620" w:rsidP="00291620">
            <w:pPr>
              <w:jc w:val="center"/>
              <w:rPr>
                <w:rFonts w:ascii="Times New Roman" w:eastAsia="Calibri" w:hAnsi="Times New Roman" w:cs="Times New Roman"/>
                <w:b/>
                <w:color w:val="000000"/>
                <w:sz w:val="20"/>
                <w:szCs w:val="20"/>
              </w:rPr>
            </w:pPr>
            <w:r w:rsidRPr="007578C2">
              <w:rPr>
                <w:rFonts w:ascii="Times New Roman" w:eastAsia="Calibri" w:hAnsi="Times New Roman" w:cs="Times New Roman"/>
                <w:b/>
                <w:color w:val="000000"/>
                <w:sz w:val="20"/>
                <w:szCs w:val="20"/>
              </w:rPr>
              <w:t>2005 г.</w:t>
            </w:r>
          </w:p>
        </w:tc>
        <w:tc>
          <w:tcPr>
            <w:tcW w:w="391" w:type="pct"/>
            <w:vAlign w:val="bottom"/>
          </w:tcPr>
          <w:p w:rsidR="00291620" w:rsidRPr="007578C2" w:rsidRDefault="00291620" w:rsidP="00291620">
            <w:pPr>
              <w:jc w:val="center"/>
              <w:rPr>
                <w:rFonts w:ascii="Times New Roman" w:eastAsia="Calibri" w:hAnsi="Times New Roman" w:cs="Times New Roman"/>
                <w:b/>
                <w:color w:val="000000"/>
                <w:sz w:val="20"/>
                <w:szCs w:val="20"/>
              </w:rPr>
            </w:pPr>
            <w:r w:rsidRPr="007578C2">
              <w:rPr>
                <w:rFonts w:ascii="Times New Roman" w:eastAsia="Calibri" w:hAnsi="Times New Roman" w:cs="Times New Roman"/>
                <w:b/>
                <w:color w:val="000000"/>
                <w:sz w:val="20"/>
                <w:szCs w:val="20"/>
              </w:rPr>
              <w:t>2015 г.</w:t>
            </w:r>
          </w:p>
        </w:tc>
        <w:tc>
          <w:tcPr>
            <w:tcW w:w="519" w:type="pct"/>
            <w:vAlign w:val="bottom"/>
          </w:tcPr>
          <w:p w:rsidR="00291620" w:rsidRPr="007578C2" w:rsidRDefault="00291620" w:rsidP="00291620">
            <w:pPr>
              <w:jc w:val="center"/>
              <w:rPr>
                <w:rFonts w:ascii="Times New Roman" w:eastAsia="Calibri" w:hAnsi="Times New Roman" w:cs="Times New Roman"/>
                <w:b/>
                <w:color w:val="000000"/>
                <w:sz w:val="20"/>
                <w:szCs w:val="20"/>
              </w:rPr>
            </w:pPr>
            <w:r w:rsidRPr="007578C2">
              <w:rPr>
                <w:rFonts w:ascii="Times New Roman" w:eastAsia="Calibri" w:hAnsi="Times New Roman" w:cs="Times New Roman"/>
                <w:b/>
                <w:color w:val="000000"/>
                <w:sz w:val="20"/>
                <w:szCs w:val="20"/>
              </w:rPr>
              <w:t>2005 г.</w:t>
            </w:r>
          </w:p>
        </w:tc>
        <w:tc>
          <w:tcPr>
            <w:tcW w:w="583" w:type="pct"/>
            <w:vAlign w:val="bottom"/>
          </w:tcPr>
          <w:p w:rsidR="00291620" w:rsidRPr="007578C2" w:rsidRDefault="00291620" w:rsidP="00291620">
            <w:pPr>
              <w:jc w:val="center"/>
              <w:rPr>
                <w:rFonts w:ascii="Times New Roman" w:eastAsia="Calibri" w:hAnsi="Times New Roman" w:cs="Times New Roman"/>
                <w:b/>
                <w:color w:val="000000"/>
                <w:sz w:val="20"/>
                <w:szCs w:val="20"/>
              </w:rPr>
            </w:pPr>
            <w:r w:rsidRPr="007578C2">
              <w:rPr>
                <w:rFonts w:ascii="Times New Roman" w:eastAsia="Calibri" w:hAnsi="Times New Roman" w:cs="Times New Roman"/>
                <w:b/>
                <w:color w:val="000000"/>
                <w:sz w:val="20"/>
                <w:szCs w:val="20"/>
              </w:rPr>
              <w:t>2015 г.</w:t>
            </w:r>
          </w:p>
        </w:tc>
      </w:tr>
      <w:tr w:rsidR="00291620" w:rsidRPr="007578C2" w:rsidTr="00081B78">
        <w:tc>
          <w:tcPr>
            <w:tcW w:w="844" w:type="pct"/>
          </w:tcPr>
          <w:p w:rsidR="00291620" w:rsidRPr="007578C2" w:rsidRDefault="00291620" w:rsidP="00291620">
            <w:pPr>
              <w:spacing w:before="240"/>
              <w:rPr>
                <w:rFonts w:ascii="Times New Roman" w:eastAsia="Calibri" w:hAnsi="Times New Roman" w:cs="Times New Roman"/>
                <w:b/>
                <w:i/>
                <w:sz w:val="20"/>
                <w:szCs w:val="20"/>
              </w:rPr>
            </w:pPr>
            <w:r w:rsidRPr="007578C2">
              <w:rPr>
                <w:rFonts w:ascii="Times New Roman" w:eastAsia="Calibri" w:hAnsi="Times New Roman" w:cs="Times New Roman"/>
                <w:b/>
                <w:i/>
                <w:sz w:val="20"/>
                <w:szCs w:val="20"/>
              </w:rPr>
              <w:t>ЕС(28)</w:t>
            </w:r>
          </w:p>
        </w:tc>
        <w:tc>
          <w:tcPr>
            <w:tcW w:w="650"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494 598 322</w:t>
            </w:r>
          </w:p>
        </w:tc>
        <w:tc>
          <w:tcPr>
            <w:tcW w:w="649"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508 504 320</w:t>
            </w:r>
          </w:p>
        </w:tc>
        <w:tc>
          <w:tcPr>
            <w:tcW w:w="520"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0,6</w:t>
            </w:r>
          </w:p>
        </w:tc>
        <w:tc>
          <w:tcPr>
            <w:tcW w:w="455"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-0,2</w:t>
            </w:r>
          </w:p>
        </w:tc>
        <w:tc>
          <w:tcPr>
            <w:tcW w:w="389"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67,8</w:t>
            </w:r>
          </w:p>
        </w:tc>
        <w:tc>
          <w:tcPr>
            <w:tcW w:w="391"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70</w:t>
            </w:r>
          </w:p>
        </w:tc>
        <w:tc>
          <w:tcPr>
            <w:tcW w:w="519"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8,7</w:t>
            </w:r>
          </w:p>
        </w:tc>
        <w:tc>
          <w:tcPr>
            <w:tcW w:w="583"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9,2</w:t>
            </w:r>
          </w:p>
        </w:tc>
      </w:tr>
      <w:tr w:rsidR="00291620" w:rsidRPr="007578C2" w:rsidTr="00081B78">
        <w:tc>
          <w:tcPr>
            <w:tcW w:w="844" w:type="pct"/>
          </w:tcPr>
          <w:p w:rsidR="00291620" w:rsidRPr="007578C2" w:rsidRDefault="00291620" w:rsidP="00291620">
            <w:pPr>
              <w:spacing w:before="240"/>
              <w:rPr>
                <w:rFonts w:ascii="Times New Roman" w:eastAsia="Calibri" w:hAnsi="Times New Roman" w:cs="Times New Roman"/>
                <w:b/>
                <w:i/>
                <w:sz w:val="20"/>
                <w:szCs w:val="20"/>
              </w:rPr>
            </w:pPr>
            <w:r w:rsidRPr="007578C2">
              <w:rPr>
                <w:rFonts w:ascii="Times New Roman" w:eastAsia="Calibri" w:hAnsi="Times New Roman" w:cs="Times New Roman"/>
                <w:b/>
                <w:i/>
                <w:sz w:val="20"/>
                <w:szCs w:val="20"/>
              </w:rPr>
              <w:t>България</w:t>
            </w:r>
          </w:p>
        </w:tc>
        <w:tc>
          <w:tcPr>
            <w:tcW w:w="650"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7 688 573</w:t>
            </w:r>
          </w:p>
        </w:tc>
        <w:tc>
          <w:tcPr>
            <w:tcW w:w="649"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7 202 198</w:t>
            </w:r>
          </w:p>
        </w:tc>
        <w:tc>
          <w:tcPr>
            <w:tcW w:w="520"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-5,5</w:t>
            </w:r>
          </w:p>
        </w:tc>
        <w:tc>
          <w:tcPr>
            <w:tcW w:w="455"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-6,2</w:t>
            </w:r>
          </w:p>
        </w:tc>
        <w:tc>
          <w:tcPr>
            <w:tcW w:w="389"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61,9</w:t>
            </w:r>
          </w:p>
        </w:tc>
        <w:tc>
          <w:tcPr>
            <w:tcW w:w="391"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67,1</w:t>
            </w:r>
          </w:p>
        </w:tc>
        <w:tc>
          <w:tcPr>
            <w:tcW w:w="519"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9,8</w:t>
            </w:r>
          </w:p>
        </w:tc>
        <w:tc>
          <w:tcPr>
            <w:tcW w:w="583"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9,1</w:t>
            </w:r>
          </w:p>
        </w:tc>
      </w:tr>
      <w:tr w:rsidR="00291620" w:rsidRPr="007578C2" w:rsidTr="00081B78">
        <w:tc>
          <w:tcPr>
            <w:tcW w:w="844" w:type="pct"/>
          </w:tcPr>
          <w:p w:rsidR="00291620" w:rsidRPr="007578C2" w:rsidRDefault="00291620" w:rsidP="00291620">
            <w:pPr>
              <w:spacing w:before="240"/>
              <w:rPr>
                <w:rFonts w:ascii="Times New Roman" w:eastAsia="Calibri" w:hAnsi="Times New Roman" w:cs="Times New Roman"/>
                <w:b/>
                <w:i/>
                <w:sz w:val="20"/>
                <w:szCs w:val="20"/>
              </w:rPr>
            </w:pPr>
            <w:r w:rsidRPr="007578C2">
              <w:rPr>
                <w:rFonts w:ascii="Times New Roman" w:eastAsia="Calibri" w:hAnsi="Times New Roman" w:cs="Times New Roman"/>
                <w:b/>
                <w:i/>
                <w:sz w:val="20"/>
                <w:szCs w:val="20"/>
              </w:rPr>
              <w:t>Северозападен район</w:t>
            </w:r>
          </w:p>
        </w:tc>
        <w:tc>
          <w:tcPr>
            <w:tcW w:w="650"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954 395</w:t>
            </w:r>
          </w:p>
        </w:tc>
        <w:tc>
          <w:tcPr>
            <w:tcW w:w="649"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797 142</w:t>
            </w:r>
          </w:p>
        </w:tc>
        <w:tc>
          <w:tcPr>
            <w:tcW w:w="520"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-11,3</w:t>
            </w:r>
          </w:p>
        </w:tc>
        <w:tc>
          <w:tcPr>
            <w:tcW w:w="455"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-11,8</w:t>
            </w:r>
          </w:p>
        </w:tc>
        <w:tc>
          <w:tcPr>
            <w:tcW w:w="389"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54,9</w:t>
            </w:r>
          </w:p>
        </w:tc>
        <w:tc>
          <w:tcPr>
            <w:tcW w:w="391"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60,1</w:t>
            </w:r>
          </w:p>
        </w:tc>
        <w:tc>
          <w:tcPr>
            <w:tcW w:w="519"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12,1</w:t>
            </w:r>
          </w:p>
        </w:tc>
        <w:tc>
          <w:tcPr>
            <w:tcW w:w="583"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11,9</w:t>
            </w:r>
          </w:p>
        </w:tc>
      </w:tr>
      <w:tr w:rsidR="00291620" w:rsidRPr="007578C2" w:rsidTr="00081B78">
        <w:tc>
          <w:tcPr>
            <w:tcW w:w="844" w:type="pct"/>
          </w:tcPr>
          <w:p w:rsidR="00291620" w:rsidRPr="007578C2" w:rsidRDefault="00291620" w:rsidP="00291620">
            <w:pPr>
              <w:spacing w:before="240"/>
              <w:rPr>
                <w:rFonts w:ascii="Times New Roman" w:eastAsia="Calibri" w:hAnsi="Times New Roman" w:cs="Times New Roman"/>
                <w:b/>
                <w:i/>
                <w:sz w:val="20"/>
                <w:szCs w:val="20"/>
              </w:rPr>
            </w:pPr>
            <w:r w:rsidRPr="007578C2">
              <w:rPr>
                <w:rFonts w:ascii="Times New Roman" w:eastAsia="Calibri" w:hAnsi="Times New Roman" w:cs="Times New Roman"/>
                <w:b/>
                <w:i/>
                <w:sz w:val="20"/>
                <w:szCs w:val="20"/>
              </w:rPr>
              <w:t>Северен централен район</w:t>
            </w:r>
          </w:p>
        </w:tc>
        <w:tc>
          <w:tcPr>
            <w:tcW w:w="650"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938 073</w:t>
            </w:r>
          </w:p>
        </w:tc>
        <w:tc>
          <w:tcPr>
            <w:tcW w:w="649"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825 536</w:t>
            </w:r>
          </w:p>
        </w:tc>
        <w:tc>
          <w:tcPr>
            <w:tcW w:w="520"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-7,9</w:t>
            </w:r>
          </w:p>
        </w:tc>
        <w:tc>
          <w:tcPr>
            <w:tcW w:w="455"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-9,0</w:t>
            </w:r>
          </w:p>
        </w:tc>
        <w:tc>
          <w:tcPr>
            <w:tcW w:w="389"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58,2</w:t>
            </w:r>
          </w:p>
        </w:tc>
        <w:tc>
          <w:tcPr>
            <w:tcW w:w="391"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64,8</w:t>
            </w:r>
          </w:p>
        </w:tc>
        <w:tc>
          <w:tcPr>
            <w:tcW w:w="519"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12,3</w:t>
            </w:r>
          </w:p>
        </w:tc>
        <w:tc>
          <w:tcPr>
            <w:tcW w:w="583"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10,5</w:t>
            </w:r>
          </w:p>
        </w:tc>
      </w:tr>
      <w:tr w:rsidR="00291620" w:rsidRPr="007578C2" w:rsidTr="00081B78">
        <w:tc>
          <w:tcPr>
            <w:tcW w:w="844" w:type="pct"/>
          </w:tcPr>
          <w:p w:rsidR="00291620" w:rsidRPr="007578C2" w:rsidRDefault="00291620" w:rsidP="00291620">
            <w:pPr>
              <w:spacing w:before="240"/>
              <w:rPr>
                <w:rFonts w:ascii="Times New Roman" w:eastAsia="Calibri" w:hAnsi="Times New Roman" w:cs="Times New Roman"/>
                <w:b/>
                <w:i/>
                <w:sz w:val="20"/>
                <w:szCs w:val="20"/>
              </w:rPr>
            </w:pPr>
            <w:r w:rsidRPr="007578C2">
              <w:rPr>
                <w:rFonts w:ascii="Times New Roman" w:eastAsia="Calibri" w:hAnsi="Times New Roman" w:cs="Times New Roman"/>
                <w:b/>
                <w:i/>
                <w:sz w:val="20"/>
                <w:szCs w:val="20"/>
              </w:rPr>
              <w:t>Североизточен район</w:t>
            </w:r>
          </w:p>
        </w:tc>
        <w:tc>
          <w:tcPr>
            <w:tcW w:w="650"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996 533</w:t>
            </w:r>
          </w:p>
        </w:tc>
        <w:tc>
          <w:tcPr>
            <w:tcW w:w="649"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949 957</w:t>
            </w:r>
          </w:p>
        </w:tc>
        <w:tc>
          <w:tcPr>
            <w:tcW w:w="520"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-3,5</w:t>
            </w:r>
          </w:p>
        </w:tc>
        <w:tc>
          <w:tcPr>
            <w:tcW w:w="455"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-5,5</w:t>
            </w:r>
          </w:p>
        </w:tc>
        <w:tc>
          <w:tcPr>
            <w:tcW w:w="389"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61,8</w:t>
            </w:r>
          </w:p>
        </w:tc>
        <w:tc>
          <w:tcPr>
            <w:tcW w:w="391"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67,2</w:t>
            </w:r>
          </w:p>
        </w:tc>
        <w:tc>
          <w:tcPr>
            <w:tcW w:w="519"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11,7</w:t>
            </w:r>
          </w:p>
        </w:tc>
        <w:tc>
          <w:tcPr>
            <w:tcW w:w="583"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10,2</w:t>
            </w:r>
          </w:p>
        </w:tc>
      </w:tr>
      <w:tr w:rsidR="00291620" w:rsidRPr="007578C2" w:rsidTr="00081B78">
        <w:tc>
          <w:tcPr>
            <w:tcW w:w="844" w:type="pct"/>
          </w:tcPr>
          <w:p w:rsidR="00291620" w:rsidRPr="007578C2" w:rsidRDefault="00291620" w:rsidP="00291620">
            <w:pPr>
              <w:spacing w:before="240"/>
              <w:rPr>
                <w:rFonts w:ascii="Times New Roman" w:eastAsia="Calibri" w:hAnsi="Times New Roman" w:cs="Times New Roman"/>
                <w:b/>
                <w:i/>
                <w:sz w:val="20"/>
                <w:szCs w:val="20"/>
              </w:rPr>
            </w:pPr>
            <w:r w:rsidRPr="007578C2">
              <w:rPr>
                <w:rFonts w:ascii="Times New Roman" w:eastAsia="Calibri" w:hAnsi="Times New Roman" w:cs="Times New Roman"/>
                <w:b/>
                <w:i/>
                <w:sz w:val="20"/>
                <w:szCs w:val="20"/>
              </w:rPr>
              <w:t>Югоизточен район</w:t>
            </w:r>
          </w:p>
        </w:tc>
        <w:tc>
          <w:tcPr>
            <w:tcW w:w="650"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1 128 102</w:t>
            </w:r>
          </w:p>
        </w:tc>
        <w:tc>
          <w:tcPr>
            <w:tcW w:w="649"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1 058 515</w:t>
            </w:r>
          </w:p>
        </w:tc>
        <w:tc>
          <w:tcPr>
            <w:tcW w:w="520"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-4,2</w:t>
            </w:r>
          </w:p>
        </w:tc>
        <w:tc>
          <w:tcPr>
            <w:tcW w:w="455"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-5,1</w:t>
            </w:r>
          </w:p>
        </w:tc>
        <w:tc>
          <w:tcPr>
            <w:tcW w:w="389"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61,7</w:t>
            </w:r>
          </w:p>
        </w:tc>
        <w:tc>
          <w:tcPr>
            <w:tcW w:w="391"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64,8</w:t>
            </w:r>
          </w:p>
        </w:tc>
        <w:tc>
          <w:tcPr>
            <w:tcW w:w="519"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7,9</w:t>
            </w:r>
          </w:p>
        </w:tc>
        <w:tc>
          <w:tcPr>
            <w:tcW w:w="583"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10,2</w:t>
            </w:r>
          </w:p>
        </w:tc>
      </w:tr>
      <w:tr w:rsidR="00291620" w:rsidRPr="007578C2" w:rsidTr="00081B78">
        <w:tc>
          <w:tcPr>
            <w:tcW w:w="844" w:type="pct"/>
          </w:tcPr>
          <w:p w:rsidR="00291620" w:rsidRPr="007578C2" w:rsidRDefault="00291620" w:rsidP="00291620">
            <w:pPr>
              <w:spacing w:before="240"/>
              <w:rPr>
                <w:rFonts w:ascii="Times New Roman" w:eastAsia="Calibri" w:hAnsi="Times New Roman" w:cs="Times New Roman"/>
                <w:b/>
                <w:i/>
                <w:sz w:val="20"/>
                <w:szCs w:val="20"/>
              </w:rPr>
            </w:pPr>
            <w:r w:rsidRPr="007578C2">
              <w:rPr>
                <w:rFonts w:ascii="Times New Roman" w:eastAsia="Calibri" w:hAnsi="Times New Roman" w:cs="Times New Roman"/>
                <w:b/>
                <w:i/>
                <w:sz w:val="20"/>
                <w:szCs w:val="20"/>
              </w:rPr>
              <w:t>Югозападен район</w:t>
            </w:r>
          </w:p>
        </w:tc>
        <w:tc>
          <w:tcPr>
            <w:tcW w:w="650" w:type="pct"/>
          </w:tcPr>
          <w:p w:rsidR="00291620" w:rsidRPr="007578C2" w:rsidRDefault="00291620" w:rsidP="00291620">
            <w:pPr>
              <w:jc w:val="center"/>
              <w:rPr>
                <w:rFonts w:ascii="Times New Roman" w:eastAsia="Calibri" w:hAnsi="Times New Roman" w:cs="Times New Roman"/>
                <w:bCs/>
                <w:color w:val="000000"/>
                <w:sz w:val="20"/>
                <w:szCs w:val="20"/>
              </w:rPr>
            </w:pPr>
            <w:r w:rsidRPr="007578C2">
              <w:rPr>
                <w:rFonts w:ascii="Times New Roman" w:eastAsia="Calibri" w:hAnsi="Times New Roman" w:cs="Times New Roman"/>
                <w:bCs/>
                <w:color w:val="000000"/>
                <w:sz w:val="20"/>
                <w:szCs w:val="20"/>
              </w:rPr>
              <w:t>2 122 105</w:t>
            </w:r>
          </w:p>
        </w:tc>
        <w:tc>
          <w:tcPr>
            <w:tcW w:w="649" w:type="pct"/>
          </w:tcPr>
          <w:p w:rsidR="00291620" w:rsidRPr="007578C2" w:rsidRDefault="00291620" w:rsidP="00291620">
            <w:pPr>
              <w:jc w:val="center"/>
              <w:rPr>
                <w:rFonts w:ascii="Times New Roman" w:eastAsia="Calibri" w:hAnsi="Times New Roman" w:cs="Times New Roman"/>
                <w:bCs/>
                <w:color w:val="000000"/>
                <w:sz w:val="20"/>
                <w:szCs w:val="20"/>
              </w:rPr>
            </w:pPr>
            <w:r w:rsidRPr="007578C2">
              <w:rPr>
                <w:rFonts w:ascii="Times New Roman" w:eastAsia="Calibri" w:hAnsi="Times New Roman" w:cs="Times New Roman"/>
                <w:bCs/>
                <w:color w:val="000000"/>
                <w:sz w:val="20"/>
                <w:szCs w:val="20"/>
              </w:rPr>
              <w:t>2 125 212</w:t>
            </w:r>
          </w:p>
        </w:tc>
        <w:tc>
          <w:tcPr>
            <w:tcW w:w="520" w:type="pct"/>
          </w:tcPr>
          <w:p w:rsidR="00291620" w:rsidRPr="007578C2" w:rsidRDefault="00291620" w:rsidP="00291620">
            <w:pPr>
              <w:jc w:val="center"/>
              <w:rPr>
                <w:rFonts w:ascii="Times New Roman" w:eastAsia="Calibri" w:hAnsi="Times New Roman" w:cs="Times New Roman"/>
                <w:bCs/>
                <w:color w:val="000000"/>
                <w:sz w:val="20"/>
                <w:szCs w:val="20"/>
              </w:rPr>
            </w:pPr>
            <w:r w:rsidRPr="007578C2">
              <w:rPr>
                <w:rFonts w:ascii="Times New Roman" w:eastAsia="Calibri" w:hAnsi="Times New Roman" w:cs="Times New Roman"/>
                <w:bCs/>
                <w:color w:val="000000"/>
                <w:sz w:val="20"/>
                <w:szCs w:val="20"/>
              </w:rPr>
              <w:t>-4,3</w:t>
            </w:r>
          </w:p>
        </w:tc>
        <w:tc>
          <w:tcPr>
            <w:tcW w:w="455" w:type="pct"/>
          </w:tcPr>
          <w:p w:rsidR="00291620" w:rsidRPr="007578C2" w:rsidRDefault="00291620" w:rsidP="00291620">
            <w:pPr>
              <w:jc w:val="center"/>
              <w:rPr>
                <w:rFonts w:ascii="Times New Roman" w:eastAsia="Calibri" w:hAnsi="Times New Roman" w:cs="Times New Roman"/>
                <w:bCs/>
                <w:color w:val="000000"/>
                <w:sz w:val="20"/>
                <w:szCs w:val="20"/>
              </w:rPr>
            </w:pPr>
            <w:r w:rsidRPr="007578C2">
              <w:rPr>
                <w:rFonts w:ascii="Times New Roman" w:eastAsia="Calibri" w:hAnsi="Times New Roman" w:cs="Times New Roman"/>
                <w:bCs/>
                <w:color w:val="000000"/>
                <w:sz w:val="20"/>
                <w:szCs w:val="20"/>
              </w:rPr>
              <w:t>-4,1</w:t>
            </w:r>
          </w:p>
        </w:tc>
        <w:tc>
          <w:tcPr>
            <w:tcW w:w="389" w:type="pct"/>
          </w:tcPr>
          <w:p w:rsidR="00291620" w:rsidRPr="007578C2" w:rsidRDefault="00291620" w:rsidP="00291620">
            <w:pPr>
              <w:jc w:val="center"/>
              <w:rPr>
                <w:rFonts w:ascii="Times New Roman" w:eastAsia="Calibri" w:hAnsi="Times New Roman" w:cs="Times New Roman"/>
                <w:bCs/>
                <w:color w:val="000000"/>
                <w:sz w:val="20"/>
                <w:szCs w:val="20"/>
              </w:rPr>
            </w:pPr>
            <w:r w:rsidRPr="007578C2">
              <w:rPr>
                <w:rFonts w:ascii="Times New Roman" w:eastAsia="Calibri" w:hAnsi="Times New Roman" w:cs="Times New Roman"/>
                <w:bCs/>
                <w:color w:val="000000"/>
                <w:sz w:val="20"/>
                <w:szCs w:val="20"/>
              </w:rPr>
              <w:t>67,7</w:t>
            </w:r>
          </w:p>
        </w:tc>
        <w:tc>
          <w:tcPr>
            <w:tcW w:w="391" w:type="pct"/>
          </w:tcPr>
          <w:p w:rsidR="00291620" w:rsidRPr="007578C2" w:rsidRDefault="00291620" w:rsidP="00291620">
            <w:pPr>
              <w:jc w:val="center"/>
              <w:rPr>
                <w:rFonts w:ascii="Times New Roman" w:eastAsia="Calibri" w:hAnsi="Times New Roman" w:cs="Times New Roman"/>
                <w:bCs/>
                <w:color w:val="000000"/>
                <w:sz w:val="20"/>
                <w:szCs w:val="20"/>
              </w:rPr>
            </w:pPr>
            <w:r w:rsidRPr="007578C2">
              <w:rPr>
                <w:rFonts w:ascii="Times New Roman" w:eastAsia="Calibri" w:hAnsi="Times New Roman" w:cs="Times New Roman"/>
                <w:bCs/>
                <w:color w:val="000000"/>
                <w:sz w:val="20"/>
                <w:szCs w:val="20"/>
              </w:rPr>
              <w:t>72,2</w:t>
            </w:r>
          </w:p>
        </w:tc>
        <w:tc>
          <w:tcPr>
            <w:tcW w:w="519" w:type="pct"/>
          </w:tcPr>
          <w:p w:rsidR="00291620" w:rsidRPr="007578C2" w:rsidRDefault="00291620" w:rsidP="00291620">
            <w:pPr>
              <w:jc w:val="center"/>
              <w:rPr>
                <w:rFonts w:ascii="Times New Roman" w:eastAsia="Calibri" w:hAnsi="Times New Roman" w:cs="Times New Roman"/>
                <w:bCs/>
                <w:color w:val="000000"/>
                <w:sz w:val="20"/>
                <w:szCs w:val="20"/>
              </w:rPr>
            </w:pPr>
            <w:r w:rsidRPr="007578C2">
              <w:rPr>
                <w:rFonts w:ascii="Times New Roman" w:eastAsia="Calibri" w:hAnsi="Times New Roman" w:cs="Times New Roman"/>
                <w:bCs/>
                <w:color w:val="000000"/>
                <w:sz w:val="20"/>
                <w:szCs w:val="20"/>
              </w:rPr>
              <w:t>7,4</w:t>
            </w:r>
          </w:p>
        </w:tc>
        <w:tc>
          <w:tcPr>
            <w:tcW w:w="583" w:type="pct"/>
          </w:tcPr>
          <w:p w:rsidR="00291620" w:rsidRPr="007578C2" w:rsidRDefault="00291620" w:rsidP="00291620">
            <w:pPr>
              <w:jc w:val="center"/>
              <w:rPr>
                <w:rFonts w:ascii="Times New Roman" w:eastAsia="Calibri" w:hAnsi="Times New Roman" w:cs="Times New Roman"/>
                <w:bCs/>
                <w:color w:val="000000"/>
                <w:sz w:val="20"/>
                <w:szCs w:val="20"/>
              </w:rPr>
            </w:pPr>
            <w:r w:rsidRPr="007578C2">
              <w:rPr>
                <w:rFonts w:ascii="Times New Roman" w:eastAsia="Calibri" w:hAnsi="Times New Roman" w:cs="Times New Roman"/>
                <w:bCs/>
                <w:color w:val="000000"/>
                <w:sz w:val="20"/>
                <w:szCs w:val="20"/>
              </w:rPr>
              <w:t>6,6</w:t>
            </w:r>
          </w:p>
        </w:tc>
      </w:tr>
      <w:tr w:rsidR="00291620" w:rsidRPr="007578C2" w:rsidTr="00081B78">
        <w:tc>
          <w:tcPr>
            <w:tcW w:w="844" w:type="pct"/>
          </w:tcPr>
          <w:p w:rsidR="00291620" w:rsidRPr="007578C2" w:rsidRDefault="00291620" w:rsidP="00291620">
            <w:pPr>
              <w:spacing w:before="240"/>
              <w:rPr>
                <w:rFonts w:ascii="Times New Roman" w:eastAsia="Calibri" w:hAnsi="Times New Roman" w:cs="Times New Roman"/>
                <w:b/>
                <w:i/>
                <w:sz w:val="20"/>
                <w:szCs w:val="20"/>
              </w:rPr>
            </w:pPr>
            <w:r w:rsidRPr="007578C2">
              <w:rPr>
                <w:rFonts w:ascii="Times New Roman" w:eastAsia="Calibri" w:hAnsi="Times New Roman" w:cs="Times New Roman"/>
                <w:b/>
                <w:i/>
                <w:sz w:val="20"/>
                <w:szCs w:val="20"/>
              </w:rPr>
              <w:t>Южен централен район</w:t>
            </w:r>
          </w:p>
        </w:tc>
        <w:tc>
          <w:tcPr>
            <w:tcW w:w="650"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1 549 365</w:t>
            </w:r>
          </w:p>
        </w:tc>
        <w:tc>
          <w:tcPr>
            <w:tcW w:w="649"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1 445 836</w:t>
            </w:r>
          </w:p>
        </w:tc>
        <w:tc>
          <w:tcPr>
            <w:tcW w:w="520"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-4,5</w:t>
            </w:r>
          </w:p>
        </w:tc>
        <w:tc>
          <w:tcPr>
            <w:tcW w:w="455"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-5,7</w:t>
            </w:r>
          </w:p>
        </w:tc>
        <w:tc>
          <w:tcPr>
            <w:tcW w:w="389"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60,3</w:t>
            </w:r>
          </w:p>
        </w:tc>
        <w:tc>
          <w:tcPr>
            <w:tcW w:w="391"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65,8</w:t>
            </w:r>
          </w:p>
        </w:tc>
        <w:tc>
          <w:tcPr>
            <w:tcW w:w="519"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10,7</w:t>
            </w:r>
          </w:p>
        </w:tc>
        <w:tc>
          <w:tcPr>
            <w:tcW w:w="583" w:type="pct"/>
          </w:tcPr>
          <w:p w:rsidR="00291620" w:rsidRPr="007578C2" w:rsidRDefault="00291620" w:rsidP="00291620">
            <w:pPr>
              <w:jc w:val="center"/>
              <w:rPr>
                <w:rFonts w:ascii="Times New Roman" w:eastAsia="Calibri" w:hAnsi="Times New Roman" w:cs="Times New Roman"/>
                <w:color w:val="000000"/>
                <w:sz w:val="20"/>
                <w:szCs w:val="20"/>
              </w:rPr>
            </w:pPr>
            <w:r w:rsidRPr="007578C2">
              <w:rPr>
                <w:rFonts w:ascii="Times New Roman" w:eastAsia="Calibri" w:hAnsi="Times New Roman" w:cs="Times New Roman"/>
                <w:color w:val="000000"/>
                <w:sz w:val="20"/>
                <w:szCs w:val="20"/>
              </w:rPr>
              <w:t>9,2</w:t>
            </w:r>
          </w:p>
        </w:tc>
      </w:tr>
    </w:tbl>
    <w:p w:rsidR="00291620" w:rsidRPr="007578C2" w:rsidRDefault="00291620" w:rsidP="00291620">
      <w:pPr>
        <w:spacing w:after="200" w:line="276" w:lineRule="auto"/>
        <w:jc w:val="right"/>
        <w:rPr>
          <w:rFonts w:ascii="Times New Roman" w:eastAsia="Calibri" w:hAnsi="Times New Roman" w:cs="Times New Roman"/>
        </w:rPr>
      </w:pPr>
      <w:r w:rsidRPr="007578C2">
        <w:rPr>
          <w:rFonts w:ascii="Times New Roman" w:eastAsia="Calibri" w:hAnsi="Times New Roman" w:cs="Times New Roman"/>
        </w:rPr>
        <w:t>Източник: Евростат</w:t>
      </w:r>
    </w:p>
    <w:p w:rsidR="003C771D" w:rsidRPr="009F2B38" w:rsidRDefault="001C2177" w:rsidP="0025387F">
      <w:pPr>
        <w:pStyle w:val="Heading1"/>
        <w:numPr>
          <w:ilvl w:val="0"/>
          <w:numId w:val="4"/>
        </w:numPr>
        <w:jc w:val="both"/>
        <w:rPr>
          <w:rFonts w:eastAsia="Times New Roman" w:cs="Times New Roman"/>
          <w:lang w:eastAsia="bg-BG"/>
        </w:rPr>
      </w:pPr>
      <w:bookmarkStart w:id="6" w:name="_Toc478043746"/>
      <w:r w:rsidRPr="009E1E7A">
        <w:rPr>
          <w:rFonts w:eastAsia="Times New Roman" w:cs="Times New Roman"/>
          <w:lang w:eastAsia="bg-BG"/>
        </w:rPr>
        <w:lastRenderedPageBreak/>
        <w:t>ЕФЕКТИВНОСТ НА ИЗПОЛЗВАНИТЕ ПРЕЗ ПЕРИОДА НА ДЕЙСТВИЕ РЕСУРСИ ЗА ПОСТИГАНЕ ЦЕЛИТЕ НА НАЦИОНАЛНАТА СТРАТЕГИЯ ЗА РЕГИОНАЛНО РАЗВИТИЕ 2005-2015 Г.</w:t>
      </w:r>
      <w:bookmarkEnd w:id="6"/>
      <w:r w:rsidRPr="009F2B38">
        <w:rPr>
          <w:rFonts w:eastAsia="Times New Roman" w:cs="Times New Roman"/>
          <w:lang w:eastAsia="bg-BG"/>
        </w:rPr>
        <w:t xml:space="preserve"> </w:t>
      </w:r>
    </w:p>
    <w:p w:rsidR="00A843CC" w:rsidRDefault="00A843CC" w:rsidP="00A843CC">
      <w:pPr>
        <w:pStyle w:val="Caption"/>
        <w:rPr>
          <w:rFonts w:eastAsia="Calibri"/>
          <w:sz w:val="24"/>
          <w:szCs w:val="24"/>
        </w:rPr>
      </w:pPr>
    </w:p>
    <w:p w:rsidR="00A843CC" w:rsidRDefault="00A843CC" w:rsidP="00A843CC">
      <w:pPr>
        <w:spacing w:after="20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За изпълнението на НСРР 2005</w:t>
      </w:r>
      <w:r w:rsidRPr="000D5B87">
        <w:rPr>
          <w:rFonts w:ascii="Times New Roman" w:eastAsia="Calibri" w:hAnsi="Times New Roman" w:cs="Times New Roman"/>
          <w:sz w:val="24"/>
          <w:szCs w:val="24"/>
        </w:rPr>
        <w:t>–2015 г. са използвани различни финансови източници -</w:t>
      </w:r>
      <w:r>
        <w:rPr>
          <w:rFonts w:ascii="Times New Roman" w:eastAsia="Calibri" w:hAnsi="Times New Roman" w:cs="Times New Roman"/>
          <w:sz w:val="24"/>
          <w:szCs w:val="24"/>
        </w:rPr>
        <w:t xml:space="preserve"> предприсъединителни програми, С</w:t>
      </w:r>
      <w:r w:rsidRPr="000D5B87">
        <w:rPr>
          <w:rFonts w:ascii="Times New Roman" w:eastAsia="Calibri" w:hAnsi="Times New Roman" w:cs="Times New Roman"/>
          <w:sz w:val="24"/>
          <w:szCs w:val="24"/>
        </w:rPr>
        <w:t>труктурни</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фондове и К</w:t>
      </w:r>
      <w:r w:rsidRPr="000D5B87">
        <w:rPr>
          <w:rFonts w:ascii="Times New Roman" w:eastAsia="Calibri" w:hAnsi="Times New Roman" w:cs="Times New Roman"/>
          <w:sz w:val="24"/>
          <w:szCs w:val="24"/>
        </w:rPr>
        <w:t>охезио</w:t>
      </w:r>
      <w:r>
        <w:rPr>
          <w:rFonts w:ascii="Times New Roman" w:eastAsia="Calibri" w:hAnsi="Times New Roman" w:cs="Times New Roman"/>
          <w:sz w:val="24"/>
          <w:szCs w:val="24"/>
        </w:rPr>
        <w:t>нен</w:t>
      </w:r>
      <w:r w:rsidRPr="000D5B87">
        <w:rPr>
          <w:rFonts w:ascii="Times New Roman" w:eastAsia="Calibri" w:hAnsi="Times New Roman" w:cs="Times New Roman"/>
          <w:sz w:val="24"/>
          <w:szCs w:val="24"/>
        </w:rPr>
        <w:t xml:space="preserve"> фонд</w:t>
      </w:r>
      <w:r>
        <w:rPr>
          <w:rFonts w:ascii="Times New Roman" w:eastAsia="Calibri" w:hAnsi="Times New Roman" w:cs="Times New Roman"/>
          <w:sz w:val="24"/>
          <w:szCs w:val="24"/>
        </w:rPr>
        <w:t xml:space="preserve"> на ЕС</w:t>
      </w:r>
      <w:r w:rsidRPr="000D5B87">
        <w:rPr>
          <w:rFonts w:ascii="Times New Roman" w:eastAsia="Calibri" w:hAnsi="Times New Roman" w:cs="Times New Roman"/>
          <w:sz w:val="24"/>
          <w:szCs w:val="24"/>
        </w:rPr>
        <w:t xml:space="preserve">, национално финансиране, частни инвестиции и др. </w:t>
      </w:r>
    </w:p>
    <w:p w:rsidR="002F1F54" w:rsidRDefault="002F1F54" w:rsidP="00A843CC">
      <w:pPr>
        <w:spacing w:after="200" w:line="360" w:lineRule="auto"/>
        <w:ind w:firstLine="360"/>
        <w:jc w:val="both"/>
        <w:rPr>
          <w:rFonts w:ascii="Times New Roman" w:eastAsia="Calibri" w:hAnsi="Times New Roman" w:cs="Times New Roman"/>
          <w:b/>
          <w:sz w:val="24"/>
          <w:szCs w:val="24"/>
        </w:rPr>
      </w:pPr>
    </w:p>
    <w:p w:rsidR="002F1F54" w:rsidRPr="002F1F54" w:rsidRDefault="002F1F54" w:rsidP="00A843CC">
      <w:pPr>
        <w:spacing w:after="200" w:line="360" w:lineRule="auto"/>
        <w:ind w:firstLine="360"/>
        <w:jc w:val="both"/>
        <w:rPr>
          <w:rFonts w:ascii="Times New Roman" w:eastAsia="Calibri" w:hAnsi="Times New Roman" w:cs="Times New Roman"/>
          <w:b/>
          <w:sz w:val="24"/>
          <w:szCs w:val="24"/>
        </w:rPr>
      </w:pPr>
      <w:r w:rsidRPr="002F1F54">
        <w:rPr>
          <w:rFonts w:ascii="Times New Roman" w:eastAsia="Calibri" w:hAnsi="Times New Roman" w:cs="Times New Roman"/>
          <w:b/>
          <w:sz w:val="24"/>
          <w:szCs w:val="24"/>
        </w:rPr>
        <w:t xml:space="preserve">Таблица </w:t>
      </w:r>
      <w:r w:rsidR="00FD1A13">
        <w:rPr>
          <w:rFonts w:ascii="Times New Roman" w:eastAsia="Calibri" w:hAnsi="Times New Roman" w:cs="Times New Roman"/>
          <w:b/>
          <w:sz w:val="24"/>
          <w:szCs w:val="24"/>
          <w:lang w:val="en-US"/>
        </w:rPr>
        <w:t>5</w:t>
      </w:r>
      <w:r>
        <w:rPr>
          <w:rFonts w:ascii="Times New Roman" w:eastAsia="Calibri" w:hAnsi="Times New Roman" w:cs="Times New Roman"/>
          <w:b/>
          <w:sz w:val="24"/>
          <w:szCs w:val="24"/>
        </w:rPr>
        <w:t>.</w:t>
      </w:r>
      <w:r w:rsidRPr="002F1F54">
        <w:rPr>
          <w:rFonts w:ascii="Times New Roman" w:eastAsia="Calibri" w:hAnsi="Times New Roman" w:cs="Times New Roman"/>
          <w:b/>
          <w:sz w:val="24"/>
          <w:szCs w:val="24"/>
        </w:rPr>
        <w:t xml:space="preserve"> Р</w:t>
      </w:r>
      <w:r w:rsidR="00D66DDF">
        <w:rPr>
          <w:rFonts w:ascii="Times New Roman" w:eastAsia="Calibri" w:hAnsi="Times New Roman" w:cs="Times New Roman"/>
          <w:b/>
          <w:sz w:val="24"/>
          <w:szCs w:val="24"/>
        </w:rPr>
        <w:t>еализация</w:t>
      </w:r>
      <w:r w:rsidRPr="002F1F54">
        <w:rPr>
          <w:rFonts w:ascii="Times New Roman" w:eastAsia="Calibri" w:hAnsi="Times New Roman" w:cs="Times New Roman"/>
          <w:b/>
          <w:sz w:val="24"/>
          <w:szCs w:val="24"/>
        </w:rPr>
        <w:t xml:space="preserve"> на ресурсите за развитие по райони от ниво 2</w:t>
      </w:r>
    </w:p>
    <w:tbl>
      <w:tblPr>
        <w:tblStyle w:val="GridTable4-Accent11"/>
        <w:tblW w:w="9218" w:type="dxa"/>
        <w:tblLayout w:type="fixed"/>
        <w:tblLook w:val="04A0" w:firstRow="1" w:lastRow="0" w:firstColumn="1" w:lastColumn="0" w:noHBand="0" w:noVBand="1"/>
      </w:tblPr>
      <w:tblGrid>
        <w:gridCol w:w="1141"/>
        <w:gridCol w:w="1694"/>
        <w:gridCol w:w="1042"/>
        <w:gridCol w:w="1042"/>
        <w:gridCol w:w="1563"/>
        <w:gridCol w:w="1042"/>
        <w:gridCol w:w="1694"/>
      </w:tblGrid>
      <w:tr w:rsidR="00A843CC" w:rsidRPr="00426AE0" w:rsidTr="00376DD3">
        <w:trPr>
          <w:cnfStyle w:val="100000000000" w:firstRow="1" w:lastRow="0" w:firstColumn="0" w:lastColumn="0" w:oddVBand="0" w:evenVBand="0" w:oddHBand="0" w:evenHBand="0" w:firstRowFirstColumn="0" w:firstRowLastColumn="0" w:lastRowFirstColumn="0" w:lastRowLastColumn="0"/>
          <w:trHeight w:val="1424"/>
        </w:trPr>
        <w:tc>
          <w:tcPr>
            <w:cnfStyle w:val="001000000000" w:firstRow="0" w:lastRow="0" w:firstColumn="1" w:lastColumn="0" w:oddVBand="0" w:evenVBand="0" w:oddHBand="0" w:evenHBand="0" w:firstRowFirstColumn="0" w:firstRowLastColumn="0" w:lastRowFirstColumn="0" w:lastRowLastColumn="0"/>
            <w:tcW w:w="1141" w:type="dxa"/>
          </w:tcPr>
          <w:p w:rsidR="00A843CC" w:rsidRPr="00426AE0" w:rsidRDefault="00A843CC" w:rsidP="00A843CC">
            <w:pPr>
              <w:jc w:val="center"/>
              <w:rPr>
                <w:rFonts w:ascii="Times New Roman" w:eastAsia="Calibri" w:hAnsi="Times New Roman" w:cs="Times New Roman"/>
                <w:lang w:val="bg-BG"/>
              </w:rPr>
            </w:pPr>
            <w:r w:rsidRPr="00426AE0">
              <w:rPr>
                <w:rFonts w:ascii="Times New Roman" w:eastAsia="Calibri" w:hAnsi="Times New Roman" w:cs="Times New Roman"/>
                <w:lang w:val="bg-BG"/>
              </w:rPr>
              <w:t xml:space="preserve">Район </w:t>
            </w:r>
          </w:p>
        </w:tc>
        <w:tc>
          <w:tcPr>
            <w:tcW w:w="1694" w:type="dxa"/>
          </w:tcPr>
          <w:p w:rsidR="00A843CC" w:rsidRPr="00426AE0" w:rsidRDefault="00A843CC" w:rsidP="00376DD3">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lang w:val="bg-BG"/>
              </w:rPr>
            </w:pPr>
            <w:r w:rsidRPr="00426AE0">
              <w:rPr>
                <w:rFonts w:ascii="Times New Roman" w:eastAsia="Calibri" w:hAnsi="Times New Roman" w:cs="Times New Roman"/>
                <w:lang w:val="bg-BG"/>
              </w:rPr>
              <w:t>Планирани индикативни финансови средства</w:t>
            </w:r>
          </w:p>
          <w:p w:rsidR="00A843CC" w:rsidRPr="00426AE0" w:rsidRDefault="00A843CC" w:rsidP="00376DD3">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lang w:val="bg-BG"/>
              </w:rPr>
            </w:pPr>
            <w:r w:rsidRPr="00426AE0">
              <w:rPr>
                <w:rFonts w:ascii="Times New Roman" w:eastAsia="Calibri" w:hAnsi="Times New Roman" w:cs="Times New Roman"/>
                <w:lang w:val="bg-BG"/>
              </w:rPr>
              <w:t>2007 – 2013 г.</w:t>
            </w:r>
          </w:p>
        </w:tc>
        <w:tc>
          <w:tcPr>
            <w:tcW w:w="1042" w:type="dxa"/>
          </w:tcPr>
          <w:p w:rsidR="00A843CC" w:rsidRPr="00426AE0" w:rsidRDefault="00A843CC" w:rsidP="00376DD3">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lang w:val="bg-BG"/>
              </w:rPr>
            </w:pPr>
            <w:r w:rsidRPr="00426AE0">
              <w:rPr>
                <w:rFonts w:ascii="Times New Roman" w:eastAsia="Calibri" w:hAnsi="Times New Roman" w:cs="Times New Roman"/>
                <w:lang w:val="bg-BG"/>
              </w:rPr>
              <w:t>Бенефи-циенти</w:t>
            </w:r>
          </w:p>
        </w:tc>
        <w:tc>
          <w:tcPr>
            <w:tcW w:w="1042" w:type="dxa"/>
          </w:tcPr>
          <w:p w:rsidR="00A843CC" w:rsidRPr="00426AE0" w:rsidRDefault="00A843CC" w:rsidP="00376DD3">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lang w:val="bg-BG"/>
              </w:rPr>
            </w:pPr>
            <w:r w:rsidRPr="00426AE0">
              <w:rPr>
                <w:rFonts w:ascii="Times New Roman" w:eastAsia="Calibri" w:hAnsi="Times New Roman" w:cs="Times New Roman"/>
                <w:lang w:val="bg-BG"/>
              </w:rPr>
              <w:t>Общо договори</w:t>
            </w:r>
          </w:p>
        </w:tc>
        <w:tc>
          <w:tcPr>
            <w:tcW w:w="1563" w:type="dxa"/>
          </w:tcPr>
          <w:p w:rsidR="00A843CC" w:rsidRPr="00426AE0" w:rsidRDefault="00A843CC" w:rsidP="00376DD3">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lang w:val="bg-BG"/>
              </w:rPr>
            </w:pPr>
            <w:r w:rsidRPr="00426AE0">
              <w:rPr>
                <w:rFonts w:ascii="Times New Roman" w:eastAsia="Calibri" w:hAnsi="Times New Roman" w:cs="Times New Roman"/>
                <w:lang w:val="bg-BG"/>
              </w:rPr>
              <w:t>Обща стойност (общо вложени средства)</w:t>
            </w:r>
          </w:p>
        </w:tc>
        <w:tc>
          <w:tcPr>
            <w:tcW w:w="1042" w:type="dxa"/>
          </w:tcPr>
          <w:p w:rsidR="00A843CC" w:rsidRPr="00426AE0" w:rsidRDefault="00A843CC" w:rsidP="00376DD3">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lang w:val="bg-BG"/>
              </w:rPr>
            </w:pPr>
            <w:r w:rsidRPr="00426AE0">
              <w:rPr>
                <w:rFonts w:ascii="Times New Roman" w:eastAsia="Calibri" w:hAnsi="Times New Roman" w:cs="Times New Roman"/>
                <w:lang w:val="bg-BG"/>
              </w:rPr>
              <w:t>Приключили договори</w:t>
            </w:r>
          </w:p>
        </w:tc>
        <w:tc>
          <w:tcPr>
            <w:tcW w:w="1694" w:type="dxa"/>
          </w:tcPr>
          <w:p w:rsidR="00A843CC" w:rsidRPr="00426AE0" w:rsidRDefault="00A843CC" w:rsidP="00376DD3">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lang w:val="bg-BG"/>
              </w:rPr>
            </w:pPr>
            <w:r w:rsidRPr="00426AE0">
              <w:rPr>
                <w:rFonts w:ascii="Times New Roman" w:eastAsia="Calibri" w:hAnsi="Times New Roman" w:cs="Times New Roman"/>
                <w:lang w:val="bg-BG"/>
              </w:rPr>
              <w:t>Обща стойност на приключилите договори</w:t>
            </w:r>
          </w:p>
        </w:tc>
      </w:tr>
      <w:tr w:rsidR="00A843CC" w:rsidRPr="000D5B87" w:rsidTr="00376D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41" w:type="dxa"/>
          </w:tcPr>
          <w:p w:rsidR="00A843CC" w:rsidRPr="000D5B87" w:rsidRDefault="00A843CC" w:rsidP="00376DD3">
            <w:pPr>
              <w:jc w:val="both"/>
              <w:rPr>
                <w:rFonts w:ascii="Times New Roman" w:eastAsia="Calibri" w:hAnsi="Times New Roman" w:cs="Times New Roman"/>
                <w:lang w:val="bg-BG"/>
              </w:rPr>
            </w:pPr>
            <w:r w:rsidRPr="000D5B87">
              <w:rPr>
                <w:rFonts w:ascii="Times New Roman" w:eastAsia="Calibri" w:hAnsi="Times New Roman" w:cs="Times New Roman"/>
                <w:lang w:val="bg-BG"/>
              </w:rPr>
              <w:t>СЗР</w:t>
            </w:r>
          </w:p>
        </w:tc>
        <w:tc>
          <w:tcPr>
            <w:tcW w:w="1694" w:type="dxa"/>
          </w:tcPr>
          <w:p w:rsidR="00A843CC" w:rsidRPr="000D5B87" w:rsidRDefault="00A843CC" w:rsidP="00376DD3">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bg-BG"/>
              </w:rPr>
            </w:pPr>
            <w:r w:rsidRPr="000D5B87">
              <w:rPr>
                <w:rFonts w:ascii="Times New Roman" w:eastAsia="Calibri" w:hAnsi="Times New Roman" w:cs="Times New Roman"/>
                <w:lang w:val="bg-BG"/>
              </w:rPr>
              <w:t>330 000 000</w:t>
            </w:r>
          </w:p>
        </w:tc>
        <w:tc>
          <w:tcPr>
            <w:tcW w:w="1042" w:type="dxa"/>
          </w:tcPr>
          <w:p w:rsidR="00A843CC" w:rsidRPr="000D5B87" w:rsidRDefault="00A843CC" w:rsidP="00376DD3">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D5B87">
              <w:rPr>
                <w:rFonts w:ascii="Times New Roman" w:eastAsia="Calibri" w:hAnsi="Times New Roman" w:cs="Times New Roman"/>
              </w:rPr>
              <w:t>716</w:t>
            </w:r>
          </w:p>
        </w:tc>
        <w:tc>
          <w:tcPr>
            <w:tcW w:w="1042" w:type="dxa"/>
          </w:tcPr>
          <w:p w:rsidR="00A843CC" w:rsidRPr="000D5B87" w:rsidRDefault="00A843CC" w:rsidP="00376DD3">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D5B87">
              <w:rPr>
                <w:rFonts w:ascii="Times New Roman" w:eastAsia="Calibri" w:hAnsi="Times New Roman" w:cs="Times New Roman"/>
              </w:rPr>
              <w:t>1 058</w:t>
            </w:r>
          </w:p>
        </w:tc>
        <w:tc>
          <w:tcPr>
            <w:tcW w:w="1563" w:type="dxa"/>
          </w:tcPr>
          <w:p w:rsidR="00A843CC" w:rsidRPr="000D5B87" w:rsidRDefault="00A843CC" w:rsidP="00376DD3">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D5B87">
              <w:rPr>
                <w:rFonts w:ascii="Times New Roman" w:eastAsia="Calibri" w:hAnsi="Times New Roman" w:cs="Times New Roman"/>
              </w:rPr>
              <w:t>966 535 200</w:t>
            </w:r>
          </w:p>
        </w:tc>
        <w:tc>
          <w:tcPr>
            <w:tcW w:w="1042" w:type="dxa"/>
          </w:tcPr>
          <w:p w:rsidR="00A843CC" w:rsidRPr="000D5B87" w:rsidRDefault="00A843CC" w:rsidP="00376DD3">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D5B87">
              <w:rPr>
                <w:rFonts w:ascii="Times New Roman" w:eastAsia="Calibri" w:hAnsi="Times New Roman" w:cs="Times New Roman"/>
              </w:rPr>
              <w:t>923</w:t>
            </w:r>
          </w:p>
        </w:tc>
        <w:tc>
          <w:tcPr>
            <w:tcW w:w="1694" w:type="dxa"/>
          </w:tcPr>
          <w:p w:rsidR="00A843CC" w:rsidRPr="000D5B87" w:rsidRDefault="00A843CC" w:rsidP="00376DD3">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bg-BG"/>
              </w:rPr>
            </w:pPr>
            <w:r w:rsidRPr="000D5B87">
              <w:rPr>
                <w:rFonts w:ascii="Times New Roman" w:eastAsia="Calibri" w:hAnsi="Times New Roman" w:cs="Times New Roman"/>
                <w:lang w:val="bg-BG"/>
              </w:rPr>
              <w:t>754 017 077</w:t>
            </w:r>
          </w:p>
        </w:tc>
      </w:tr>
      <w:tr w:rsidR="00A843CC" w:rsidRPr="000D5B87" w:rsidTr="00376DD3">
        <w:trPr>
          <w:trHeight w:val="271"/>
        </w:trPr>
        <w:tc>
          <w:tcPr>
            <w:cnfStyle w:val="001000000000" w:firstRow="0" w:lastRow="0" w:firstColumn="1" w:lastColumn="0" w:oddVBand="0" w:evenVBand="0" w:oddHBand="0" w:evenHBand="0" w:firstRowFirstColumn="0" w:firstRowLastColumn="0" w:lastRowFirstColumn="0" w:lastRowLastColumn="0"/>
            <w:tcW w:w="1141" w:type="dxa"/>
          </w:tcPr>
          <w:p w:rsidR="00A843CC" w:rsidRPr="000D5B87" w:rsidRDefault="00A843CC" w:rsidP="00376DD3">
            <w:pPr>
              <w:jc w:val="both"/>
              <w:rPr>
                <w:rFonts w:ascii="Times New Roman" w:eastAsia="Calibri" w:hAnsi="Times New Roman" w:cs="Times New Roman"/>
                <w:lang w:val="bg-BG"/>
              </w:rPr>
            </w:pPr>
            <w:r w:rsidRPr="000D5B87">
              <w:rPr>
                <w:rFonts w:ascii="Times New Roman" w:eastAsia="Calibri" w:hAnsi="Times New Roman" w:cs="Times New Roman"/>
                <w:lang w:val="bg-BG"/>
              </w:rPr>
              <w:t>СЦР</w:t>
            </w:r>
          </w:p>
        </w:tc>
        <w:tc>
          <w:tcPr>
            <w:tcW w:w="1694" w:type="dxa"/>
          </w:tcPr>
          <w:p w:rsidR="00A843CC" w:rsidRPr="000D5B87" w:rsidRDefault="00A843CC" w:rsidP="00376DD3">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bg-BG"/>
              </w:rPr>
            </w:pPr>
            <w:r w:rsidRPr="000D5B87">
              <w:rPr>
                <w:rFonts w:ascii="Times New Roman" w:eastAsia="Calibri" w:hAnsi="Times New Roman" w:cs="Times New Roman"/>
                <w:lang w:val="bg-BG"/>
              </w:rPr>
              <w:t>1 031 792 000</w:t>
            </w:r>
          </w:p>
        </w:tc>
        <w:tc>
          <w:tcPr>
            <w:tcW w:w="1042" w:type="dxa"/>
          </w:tcPr>
          <w:p w:rsidR="00A843CC" w:rsidRPr="000D5B87" w:rsidRDefault="00A843CC" w:rsidP="00376DD3">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bg-BG"/>
              </w:rPr>
            </w:pPr>
            <w:r w:rsidRPr="000D5B87">
              <w:rPr>
                <w:rFonts w:ascii="Times New Roman" w:eastAsia="Calibri" w:hAnsi="Times New Roman" w:cs="Times New Roman"/>
                <w:lang w:val="bg-BG"/>
              </w:rPr>
              <w:t>715</w:t>
            </w:r>
          </w:p>
        </w:tc>
        <w:tc>
          <w:tcPr>
            <w:tcW w:w="1042" w:type="dxa"/>
          </w:tcPr>
          <w:p w:rsidR="00A843CC" w:rsidRPr="000D5B87" w:rsidRDefault="00A843CC" w:rsidP="00376DD3">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bg-BG"/>
              </w:rPr>
            </w:pPr>
            <w:r w:rsidRPr="000D5B87">
              <w:rPr>
                <w:rFonts w:ascii="Times New Roman" w:eastAsia="Calibri" w:hAnsi="Times New Roman" w:cs="Times New Roman"/>
                <w:lang w:val="bg-BG"/>
              </w:rPr>
              <w:t>1 088</w:t>
            </w:r>
          </w:p>
        </w:tc>
        <w:tc>
          <w:tcPr>
            <w:tcW w:w="1563" w:type="dxa"/>
          </w:tcPr>
          <w:p w:rsidR="00A843CC" w:rsidRPr="000D5B87" w:rsidRDefault="00A843CC" w:rsidP="00376DD3">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bg-BG"/>
              </w:rPr>
            </w:pPr>
            <w:r w:rsidRPr="000D5B87">
              <w:rPr>
                <w:rFonts w:ascii="Times New Roman" w:eastAsia="Calibri" w:hAnsi="Times New Roman" w:cs="Times New Roman"/>
                <w:lang w:val="bg-BG"/>
              </w:rPr>
              <w:t>1 282 413 609</w:t>
            </w:r>
          </w:p>
        </w:tc>
        <w:tc>
          <w:tcPr>
            <w:tcW w:w="1042" w:type="dxa"/>
          </w:tcPr>
          <w:p w:rsidR="00A843CC" w:rsidRPr="000D5B87" w:rsidRDefault="00A843CC" w:rsidP="00376DD3">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bg-BG"/>
              </w:rPr>
            </w:pPr>
            <w:r w:rsidRPr="000D5B87">
              <w:rPr>
                <w:rFonts w:ascii="Times New Roman" w:eastAsia="Calibri" w:hAnsi="Times New Roman" w:cs="Times New Roman"/>
                <w:lang w:val="bg-BG"/>
              </w:rPr>
              <w:t>949</w:t>
            </w:r>
          </w:p>
        </w:tc>
        <w:tc>
          <w:tcPr>
            <w:tcW w:w="1694" w:type="dxa"/>
          </w:tcPr>
          <w:p w:rsidR="00A843CC" w:rsidRPr="000D5B87" w:rsidRDefault="00A843CC" w:rsidP="00376DD3">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bg-BG"/>
              </w:rPr>
            </w:pPr>
            <w:r w:rsidRPr="000D5B87">
              <w:rPr>
                <w:rFonts w:ascii="Times New Roman" w:eastAsia="Calibri" w:hAnsi="Times New Roman" w:cs="Times New Roman"/>
                <w:lang w:val="bg-BG"/>
              </w:rPr>
              <w:t>996 083 257</w:t>
            </w:r>
          </w:p>
        </w:tc>
      </w:tr>
      <w:tr w:rsidR="00A843CC" w:rsidRPr="000D5B87" w:rsidTr="00376D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41" w:type="dxa"/>
          </w:tcPr>
          <w:p w:rsidR="00A843CC" w:rsidRPr="000D5B87" w:rsidRDefault="00A843CC" w:rsidP="00376DD3">
            <w:pPr>
              <w:jc w:val="both"/>
              <w:rPr>
                <w:rFonts w:ascii="Times New Roman" w:eastAsia="Calibri" w:hAnsi="Times New Roman" w:cs="Times New Roman"/>
                <w:lang w:val="bg-BG"/>
              </w:rPr>
            </w:pPr>
            <w:r w:rsidRPr="000D5B87">
              <w:rPr>
                <w:rFonts w:ascii="Times New Roman" w:eastAsia="Calibri" w:hAnsi="Times New Roman" w:cs="Times New Roman"/>
                <w:lang w:val="bg-BG"/>
              </w:rPr>
              <w:t>СИР</w:t>
            </w:r>
          </w:p>
        </w:tc>
        <w:tc>
          <w:tcPr>
            <w:tcW w:w="1694" w:type="dxa"/>
          </w:tcPr>
          <w:p w:rsidR="00A843CC" w:rsidRPr="000D5B87" w:rsidRDefault="00A843CC" w:rsidP="00376DD3">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bg-BG"/>
              </w:rPr>
            </w:pPr>
            <w:r w:rsidRPr="000D5B87">
              <w:rPr>
                <w:rFonts w:ascii="Times New Roman" w:eastAsia="Calibri" w:hAnsi="Times New Roman" w:cs="Times New Roman"/>
                <w:lang w:val="bg-BG"/>
              </w:rPr>
              <w:t>680 000 000</w:t>
            </w:r>
          </w:p>
        </w:tc>
        <w:tc>
          <w:tcPr>
            <w:tcW w:w="1042" w:type="dxa"/>
          </w:tcPr>
          <w:p w:rsidR="00A843CC" w:rsidRPr="000D5B87" w:rsidRDefault="00A843CC" w:rsidP="00376DD3">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bg-BG"/>
              </w:rPr>
            </w:pPr>
            <w:r w:rsidRPr="000D5B87">
              <w:rPr>
                <w:rFonts w:ascii="Times New Roman" w:eastAsia="Calibri" w:hAnsi="Times New Roman" w:cs="Times New Roman"/>
                <w:lang w:val="bg-BG"/>
              </w:rPr>
              <w:t>831</w:t>
            </w:r>
          </w:p>
        </w:tc>
        <w:tc>
          <w:tcPr>
            <w:tcW w:w="1042" w:type="dxa"/>
          </w:tcPr>
          <w:p w:rsidR="00A843CC" w:rsidRPr="000D5B87" w:rsidRDefault="00A843CC" w:rsidP="00376DD3">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bg-BG"/>
              </w:rPr>
            </w:pPr>
            <w:r w:rsidRPr="000D5B87">
              <w:rPr>
                <w:rFonts w:ascii="Times New Roman" w:eastAsia="Calibri" w:hAnsi="Times New Roman" w:cs="Times New Roman"/>
                <w:lang w:val="bg-BG"/>
              </w:rPr>
              <w:t>1 170</w:t>
            </w:r>
          </w:p>
        </w:tc>
        <w:tc>
          <w:tcPr>
            <w:tcW w:w="1563" w:type="dxa"/>
          </w:tcPr>
          <w:p w:rsidR="00A843CC" w:rsidRPr="000D5B87" w:rsidRDefault="00A843CC" w:rsidP="00376DD3">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bg-BG"/>
              </w:rPr>
            </w:pPr>
            <w:r w:rsidRPr="000D5B87">
              <w:rPr>
                <w:rFonts w:ascii="Times New Roman" w:eastAsia="Calibri" w:hAnsi="Times New Roman" w:cs="Times New Roman"/>
                <w:lang w:val="bg-BG"/>
              </w:rPr>
              <w:t>1 019 979 488</w:t>
            </w:r>
          </w:p>
        </w:tc>
        <w:tc>
          <w:tcPr>
            <w:tcW w:w="1042" w:type="dxa"/>
          </w:tcPr>
          <w:p w:rsidR="00A843CC" w:rsidRPr="000D5B87" w:rsidRDefault="00A843CC" w:rsidP="00376DD3">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bg-BG"/>
              </w:rPr>
            </w:pPr>
            <w:r w:rsidRPr="000D5B87">
              <w:rPr>
                <w:rFonts w:ascii="Times New Roman" w:eastAsia="Calibri" w:hAnsi="Times New Roman" w:cs="Times New Roman"/>
                <w:lang w:val="bg-BG"/>
              </w:rPr>
              <w:t>990</w:t>
            </w:r>
          </w:p>
        </w:tc>
        <w:tc>
          <w:tcPr>
            <w:tcW w:w="1694" w:type="dxa"/>
          </w:tcPr>
          <w:p w:rsidR="00A843CC" w:rsidRPr="000D5B87" w:rsidRDefault="00A843CC" w:rsidP="00376DD3">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bg-BG"/>
              </w:rPr>
            </w:pPr>
            <w:r w:rsidRPr="000D5B87">
              <w:rPr>
                <w:rFonts w:ascii="Times New Roman" w:eastAsia="Calibri" w:hAnsi="Times New Roman" w:cs="Times New Roman"/>
                <w:lang w:val="bg-BG"/>
              </w:rPr>
              <w:t>800 965 045</w:t>
            </w:r>
          </w:p>
        </w:tc>
      </w:tr>
      <w:tr w:rsidR="00A843CC" w:rsidRPr="000D5B87" w:rsidTr="00376DD3">
        <w:trPr>
          <w:trHeight w:val="271"/>
        </w:trPr>
        <w:tc>
          <w:tcPr>
            <w:cnfStyle w:val="001000000000" w:firstRow="0" w:lastRow="0" w:firstColumn="1" w:lastColumn="0" w:oddVBand="0" w:evenVBand="0" w:oddHBand="0" w:evenHBand="0" w:firstRowFirstColumn="0" w:firstRowLastColumn="0" w:lastRowFirstColumn="0" w:lastRowLastColumn="0"/>
            <w:tcW w:w="1141" w:type="dxa"/>
          </w:tcPr>
          <w:p w:rsidR="00A843CC" w:rsidRPr="000D5B87" w:rsidRDefault="00A843CC" w:rsidP="00376DD3">
            <w:pPr>
              <w:jc w:val="both"/>
              <w:rPr>
                <w:rFonts w:ascii="Times New Roman" w:eastAsia="Calibri" w:hAnsi="Times New Roman" w:cs="Times New Roman"/>
                <w:lang w:val="bg-BG"/>
              </w:rPr>
            </w:pPr>
            <w:r w:rsidRPr="000D5B87">
              <w:rPr>
                <w:rFonts w:ascii="Times New Roman" w:eastAsia="Calibri" w:hAnsi="Times New Roman" w:cs="Times New Roman"/>
                <w:lang w:val="bg-BG"/>
              </w:rPr>
              <w:t>ЮИР</w:t>
            </w:r>
          </w:p>
        </w:tc>
        <w:tc>
          <w:tcPr>
            <w:tcW w:w="1694" w:type="dxa"/>
          </w:tcPr>
          <w:p w:rsidR="00A843CC" w:rsidRPr="000D5B87" w:rsidRDefault="00A843CC" w:rsidP="00376DD3">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bg-BG"/>
              </w:rPr>
            </w:pPr>
            <w:r w:rsidRPr="000D5B87">
              <w:rPr>
                <w:rFonts w:ascii="Times New Roman" w:eastAsia="Calibri" w:hAnsi="Times New Roman" w:cs="Times New Roman"/>
                <w:lang w:val="bg-BG"/>
              </w:rPr>
              <w:t>417 320 000</w:t>
            </w:r>
          </w:p>
        </w:tc>
        <w:tc>
          <w:tcPr>
            <w:tcW w:w="1042" w:type="dxa"/>
          </w:tcPr>
          <w:p w:rsidR="00A843CC" w:rsidRPr="000D5B87" w:rsidRDefault="00A843CC" w:rsidP="00376DD3">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bg-BG"/>
              </w:rPr>
            </w:pPr>
            <w:r w:rsidRPr="000D5B87">
              <w:rPr>
                <w:rFonts w:ascii="Times New Roman" w:eastAsia="Calibri" w:hAnsi="Times New Roman" w:cs="Times New Roman"/>
                <w:lang w:val="bg-BG"/>
              </w:rPr>
              <w:t>736</w:t>
            </w:r>
          </w:p>
        </w:tc>
        <w:tc>
          <w:tcPr>
            <w:tcW w:w="1042" w:type="dxa"/>
          </w:tcPr>
          <w:p w:rsidR="00A843CC" w:rsidRPr="000D5B87" w:rsidRDefault="00A843CC" w:rsidP="00376DD3">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bg-BG"/>
              </w:rPr>
            </w:pPr>
            <w:r w:rsidRPr="000D5B87">
              <w:rPr>
                <w:rFonts w:ascii="Times New Roman" w:eastAsia="Calibri" w:hAnsi="Times New Roman" w:cs="Times New Roman"/>
                <w:lang w:val="bg-BG"/>
              </w:rPr>
              <w:t>1 054</w:t>
            </w:r>
          </w:p>
        </w:tc>
        <w:tc>
          <w:tcPr>
            <w:tcW w:w="1563" w:type="dxa"/>
          </w:tcPr>
          <w:p w:rsidR="00A843CC" w:rsidRPr="000D5B87" w:rsidRDefault="00A843CC" w:rsidP="00376DD3">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bg-BG"/>
              </w:rPr>
            </w:pPr>
            <w:r w:rsidRPr="000D5B87">
              <w:rPr>
                <w:rFonts w:ascii="Times New Roman" w:eastAsia="Calibri" w:hAnsi="Times New Roman" w:cs="Times New Roman"/>
                <w:lang w:val="bg-BG"/>
              </w:rPr>
              <w:t>2 386 344 791</w:t>
            </w:r>
          </w:p>
        </w:tc>
        <w:tc>
          <w:tcPr>
            <w:tcW w:w="1042" w:type="dxa"/>
          </w:tcPr>
          <w:p w:rsidR="00A843CC" w:rsidRPr="000D5B87" w:rsidRDefault="00A843CC" w:rsidP="00376DD3">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bg-BG"/>
              </w:rPr>
            </w:pPr>
            <w:r w:rsidRPr="000D5B87">
              <w:rPr>
                <w:rFonts w:ascii="Times New Roman" w:eastAsia="Calibri" w:hAnsi="Times New Roman" w:cs="Times New Roman"/>
                <w:lang w:val="bg-BG"/>
              </w:rPr>
              <w:t>911</w:t>
            </w:r>
          </w:p>
        </w:tc>
        <w:tc>
          <w:tcPr>
            <w:tcW w:w="1694" w:type="dxa"/>
          </w:tcPr>
          <w:p w:rsidR="00A843CC" w:rsidRPr="000D5B87" w:rsidRDefault="00A843CC" w:rsidP="00376DD3">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bg-BG"/>
              </w:rPr>
            </w:pPr>
            <w:r w:rsidRPr="000D5B87">
              <w:rPr>
                <w:rFonts w:ascii="Times New Roman" w:eastAsia="Calibri" w:hAnsi="Times New Roman" w:cs="Times New Roman"/>
                <w:lang w:val="bg-BG"/>
              </w:rPr>
              <w:t>1 860 677 757</w:t>
            </w:r>
          </w:p>
        </w:tc>
      </w:tr>
      <w:tr w:rsidR="00A843CC" w:rsidRPr="000D5B87" w:rsidTr="00376DD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41" w:type="dxa"/>
          </w:tcPr>
          <w:p w:rsidR="00A843CC" w:rsidRPr="000D5B87" w:rsidRDefault="00A843CC" w:rsidP="00376DD3">
            <w:pPr>
              <w:jc w:val="both"/>
              <w:rPr>
                <w:rFonts w:ascii="Times New Roman" w:eastAsia="Calibri" w:hAnsi="Times New Roman" w:cs="Times New Roman"/>
                <w:lang w:val="bg-BG"/>
              </w:rPr>
            </w:pPr>
            <w:r w:rsidRPr="000D5B87">
              <w:rPr>
                <w:rFonts w:ascii="Times New Roman" w:eastAsia="Calibri" w:hAnsi="Times New Roman" w:cs="Times New Roman"/>
                <w:lang w:val="bg-BG"/>
              </w:rPr>
              <w:t>ЮЗР</w:t>
            </w:r>
          </w:p>
        </w:tc>
        <w:tc>
          <w:tcPr>
            <w:tcW w:w="1694" w:type="dxa"/>
          </w:tcPr>
          <w:p w:rsidR="00A843CC" w:rsidRPr="000D5B87" w:rsidRDefault="00A843CC" w:rsidP="00376DD3">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bg-BG"/>
              </w:rPr>
            </w:pPr>
            <w:r w:rsidRPr="000D5B87">
              <w:rPr>
                <w:rFonts w:ascii="Times New Roman" w:eastAsia="Calibri" w:hAnsi="Times New Roman" w:cs="Times New Roman"/>
                <w:lang w:val="bg-BG"/>
              </w:rPr>
              <w:t xml:space="preserve">1 051 100 000 </w:t>
            </w:r>
          </w:p>
        </w:tc>
        <w:tc>
          <w:tcPr>
            <w:tcW w:w="1042" w:type="dxa"/>
          </w:tcPr>
          <w:p w:rsidR="00A843CC" w:rsidRPr="000D5B87" w:rsidRDefault="00A843CC" w:rsidP="00376DD3">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bg-BG"/>
              </w:rPr>
            </w:pPr>
            <w:r w:rsidRPr="000D5B87">
              <w:rPr>
                <w:rFonts w:ascii="Times New Roman" w:eastAsia="Calibri" w:hAnsi="Times New Roman" w:cs="Times New Roman"/>
                <w:lang w:val="bg-BG"/>
              </w:rPr>
              <w:t>2 679</w:t>
            </w:r>
          </w:p>
        </w:tc>
        <w:tc>
          <w:tcPr>
            <w:tcW w:w="1042" w:type="dxa"/>
          </w:tcPr>
          <w:p w:rsidR="00A843CC" w:rsidRPr="000D5B87" w:rsidRDefault="00A843CC" w:rsidP="00376DD3">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bg-BG"/>
              </w:rPr>
            </w:pPr>
            <w:r w:rsidRPr="000D5B87">
              <w:rPr>
                <w:rFonts w:ascii="Times New Roman" w:eastAsia="Calibri" w:hAnsi="Times New Roman" w:cs="Times New Roman"/>
                <w:lang w:val="bg-BG"/>
              </w:rPr>
              <w:t>3 433</w:t>
            </w:r>
          </w:p>
        </w:tc>
        <w:tc>
          <w:tcPr>
            <w:tcW w:w="1563" w:type="dxa"/>
          </w:tcPr>
          <w:p w:rsidR="00A843CC" w:rsidRPr="000D5B87" w:rsidRDefault="00A843CC" w:rsidP="00376DD3">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bg-BG"/>
              </w:rPr>
            </w:pPr>
            <w:r w:rsidRPr="000D5B87">
              <w:rPr>
                <w:rFonts w:ascii="Times New Roman" w:eastAsia="Calibri" w:hAnsi="Times New Roman" w:cs="Times New Roman"/>
                <w:lang w:val="bg-BG"/>
              </w:rPr>
              <w:t>5 647 450 438</w:t>
            </w:r>
          </w:p>
        </w:tc>
        <w:tc>
          <w:tcPr>
            <w:tcW w:w="1042" w:type="dxa"/>
          </w:tcPr>
          <w:p w:rsidR="00A843CC" w:rsidRPr="000D5B87" w:rsidRDefault="00A843CC" w:rsidP="00376DD3">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bg-BG"/>
              </w:rPr>
            </w:pPr>
            <w:r w:rsidRPr="000D5B87">
              <w:rPr>
                <w:rFonts w:ascii="Times New Roman" w:eastAsia="Calibri" w:hAnsi="Times New Roman" w:cs="Times New Roman"/>
                <w:lang w:val="bg-BG"/>
              </w:rPr>
              <w:t>2 732</w:t>
            </w:r>
          </w:p>
        </w:tc>
        <w:tc>
          <w:tcPr>
            <w:tcW w:w="1694" w:type="dxa"/>
          </w:tcPr>
          <w:p w:rsidR="00A843CC" w:rsidRPr="000D5B87" w:rsidRDefault="00A843CC" w:rsidP="00376DD3">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bg-BG"/>
              </w:rPr>
            </w:pPr>
            <w:r w:rsidRPr="000D5B87">
              <w:rPr>
                <w:rFonts w:ascii="Times New Roman" w:eastAsia="Calibri" w:hAnsi="Times New Roman" w:cs="Times New Roman"/>
                <w:lang w:val="bg-BG"/>
              </w:rPr>
              <w:t>2 167 918 547</w:t>
            </w:r>
          </w:p>
        </w:tc>
      </w:tr>
      <w:tr w:rsidR="00A843CC" w:rsidRPr="000D5B87" w:rsidTr="00376DD3">
        <w:trPr>
          <w:trHeight w:val="271"/>
        </w:trPr>
        <w:tc>
          <w:tcPr>
            <w:cnfStyle w:val="001000000000" w:firstRow="0" w:lastRow="0" w:firstColumn="1" w:lastColumn="0" w:oddVBand="0" w:evenVBand="0" w:oddHBand="0" w:evenHBand="0" w:firstRowFirstColumn="0" w:firstRowLastColumn="0" w:lastRowFirstColumn="0" w:lastRowLastColumn="0"/>
            <w:tcW w:w="1141" w:type="dxa"/>
          </w:tcPr>
          <w:p w:rsidR="00A843CC" w:rsidRPr="000D5B87" w:rsidRDefault="00A843CC" w:rsidP="00376DD3">
            <w:pPr>
              <w:jc w:val="both"/>
              <w:rPr>
                <w:rFonts w:ascii="Times New Roman" w:eastAsia="Calibri" w:hAnsi="Times New Roman" w:cs="Times New Roman"/>
                <w:lang w:val="bg-BG"/>
              </w:rPr>
            </w:pPr>
            <w:r w:rsidRPr="000D5B87">
              <w:rPr>
                <w:rFonts w:ascii="Times New Roman" w:eastAsia="Calibri" w:hAnsi="Times New Roman" w:cs="Times New Roman"/>
                <w:lang w:val="bg-BG"/>
              </w:rPr>
              <w:t>ЮЦР</w:t>
            </w:r>
          </w:p>
        </w:tc>
        <w:tc>
          <w:tcPr>
            <w:tcW w:w="1694" w:type="dxa"/>
          </w:tcPr>
          <w:p w:rsidR="00A843CC" w:rsidRPr="000D5B87" w:rsidRDefault="00A843CC" w:rsidP="00376DD3">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bg-BG"/>
              </w:rPr>
            </w:pPr>
            <w:r w:rsidRPr="000D5B87">
              <w:rPr>
                <w:rFonts w:ascii="Times New Roman" w:eastAsia="Calibri" w:hAnsi="Times New Roman" w:cs="Times New Roman"/>
                <w:lang w:val="bg-BG"/>
              </w:rPr>
              <w:t>1 025 000 000</w:t>
            </w:r>
          </w:p>
        </w:tc>
        <w:tc>
          <w:tcPr>
            <w:tcW w:w="1042" w:type="dxa"/>
          </w:tcPr>
          <w:p w:rsidR="00A843CC" w:rsidRPr="000D5B87" w:rsidRDefault="00A843CC" w:rsidP="00376DD3">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bg-BG"/>
              </w:rPr>
            </w:pPr>
            <w:r w:rsidRPr="000D5B87">
              <w:rPr>
                <w:rFonts w:ascii="Times New Roman" w:eastAsia="Calibri" w:hAnsi="Times New Roman" w:cs="Times New Roman"/>
                <w:lang w:val="bg-BG"/>
              </w:rPr>
              <w:t>1 099</w:t>
            </w:r>
          </w:p>
        </w:tc>
        <w:tc>
          <w:tcPr>
            <w:tcW w:w="1042" w:type="dxa"/>
          </w:tcPr>
          <w:p w:rsidR="00A843CC" w:rsidRPr="000D5B87" w:rsidRDefault="00A843CC" w:rsidP="00376DD3">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bg-BG"/>
              </w:rPr>
            </w:pPr>
            <w:r w:rsidRPr="000D5B87">
              <w:rPr>
                <w:rFonts w:ascii="Times New Roman" w:eastAsia="Calibri" w:hAnsi="Times New Roman" w:cs="Times New Roman"/>
                <w:lang w:val="bg-BG"/>
              </w:rPr>
              <w:t>1 652</w:t>
            </w:r>
          </w:p>
        </w:tc>
        <w:tc>
          <w:tcPr>
            <w:tcW w:w="1563" w:type="dxa"/>
          </w:tcPr>
          <w:p w:rsidR="00A843CC" w:rsidRPr="000D5B87" w:rsidRDefault="00A843CC" w:rsidP="00376DD3">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bg-BG"/>
              </w:rPr>
            </w:pPr>
            <w:r w:rsidRPr="000D5B87">
              <w:rPr>
                <w:rFonts w:ascii="Times New Roman" w:eastAsia="Calibri" w:hAnsi="Times New Roman" w:cs="Times New Roman"/>
                <w:lang w:val="bg-BG"/>
              </w:rPr>
              <w:t>2 771 170 693</w:t>
            </w:r>
          </w:p>
        </w:tc>
        <w:tc>
          <w:tcPr>
            <w:tcW w:w="1042" w:type="dxa"/>
          </w:tcPr>
          <w:p w:rsidR="00A843CC" w:rsidRPr="000D5B87" w:rsidRDefault="00A843CC" w:rsidP="00376DD3">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bg-BG"/>
              </w:rPr>
            </w:pPr>
            <w:r w:rsidRPr="000D5B87">
              <w:rPr>
                <w:rFonts w:ascii="Times New Roman" w:eastAsia="Calibri" w:hAnsi="Times New Roman" w:cs="Times New Roman"/>
                <w:lang w:val="bg-BG"/>
              </w:rPr>
              <w:t>1 535</w:t>
            </w:r>
          </w:p>
        </w:tc>
        <w:tc>
          <w:tcPr>
            <w:tcW w:w="1694" w:type="dxa"/>
          </w:tcPr>
          <w:p w:rsidR="00A843CC" w:rsidRPr="000D5B87" w:rsidRDefault="00A843CC" w:rsidP="00376DD3">
            <w:pPr>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bg-BG"/>
              </w:rPr>
            </w:pPr>
            <w:r w:rsidRPr="000D5B87">
              <w:rPr>
                <w:rFonts w:ascii="Times New Roman" w:eastAsia="Calibri" w:hAnsi="Times New Roman" w:cs="Times New Roman"/>
                <w:lang w:val="bg-BG"/>
              </w:rPr>
              <w:t>1 783 715 280</w:t>
            </w:r>
          </w:p>
        </w:tc>
      </w:tr>
      <w:tr w:rsidR="00A843CC" w:rsidRPr="000D5B87" w:rsidTr="00376DD3">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141" w:type="dxa"/>
          </w:tcPr>
          <w:p w:rsidR="00A843CC" w:rsidRPr="000D5B87" w:rsidRDefault="00A843CC" w:rsidP="00A843CC">
            <w:pPr>
              <w:jc w:val="both"/>
              <w:rPr>
                <w:rFonts w:ascii="Times New Roman" w:eastAsia="Calibri" w:hAnsi="Times New Roman" w:cs="Times New Roman"/>
                <w:lang w:val="bg-BG"/>
              </w:rPr>
            </w:pPr>
            <w:r w:rsidRPr="000D5B87">
              <w:rPr>
                <w:rFonts w:ascii="Times New Roman" w:eastAsia="Calibri" w:hAnsi="Times New Roman" w:cs="Times New Roman"/>
                <w:lang w:val="bg-BG"/>
              </w:rPr>
              <w:t>Общо</w:t>
            </w:r>
          </w:p>
        </w:tc>
        <w:tc>
          <w:tcPr>
            <w:tcW w:w="1694" w:type="dxa"/>
          </w:tcPr>
          <w:p w:rsidR="00A843CC" w:rsidRPr="000D5B87" w:rsidRDefault="00A843CC" w:rsidP="00376DD3">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lang w:val="bg-BG"/>
              </w:rPr>
            </w:pPr>
            <w:r w:rsidRPr="000D5B87">
              <w:rPr>
                <w:rFonts w:ascii="Times New Roman" w:eastAsia="Calibri" w:hAnsi="Times New Roman" w:cs="Times New Roman"/>
                <w:b/>
                <w:lang w:val="bg-BG"/>
              </w:rPr>
              <w:t>4 535 212 000</w:t>
            </w:r>
          </w:p>
        </w:tc>
        <w:tc>
          <w:tcPr>
            <w:tcW w:w="1042" w:type="dxa"/>
          </w:tcPr>
          <w:p w:rsidR="00A843CC" w:rsidRPr="000D5B87" w:rsidRDefault="00A843CC" w:rsidP="00376DD3">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lang w:val="bg-BG"/>
              </w:rPr>
            </w:pPr>
            <w:r w:rsidRPr="000D5B87">
              <w:rPr>
                <w:rFonts w:ascii="Times New Roman" w:eastAsia="Calibri" w:hAnsi="Times New Roman" w:cs="Times New Roman"/>
                <w:b/>
                <w:lang w:val="bg-BG"/>
              </w:rPr>
              <w:t>6 776</w:t>
            </w:r>
          </w:p>
        </w:tc>
        <w:tc>
          <w:tcPr>
            <w:tcW w:w="1042" w:type="dxa"/>
          </w:tcPr>
          <w:p w:rsidR="00A843CC" w:rsidRPr="000D5B87" w:rsidRDefault="00A843CC" w:rsidP="00376DD3">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lang w:val="bg-BG"/>
              </w:rPr>
            </w:pPr>
            <w:r w:rsidRPr="000D5B87">
              <w:rPr>
                <w:rFonts w:ascii="Times New Roman" w:eastAsia="Calibri" w:hAnsi="Times New Roman" w:cs="Times New Roman"/>
                <w:b/>
                <w:lang w:val="bg-BG"/>
              </w:rPr>
              <w:t>9 455</w:t>
            </w:r>
          </w:p>
        </w:tc>
        <w:tc>
          <w:tcPr>
            <w:tcW w:w="1563" w:type="dxa"/>
          </w:tcPr>
          <w:p w:rsidR="00A843CC" w:rsidRPr="000D5B87" w:rsidRDefault="00A843CC" w:rsidP="00376DD3">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lang w:val="bg-BG"/>
              </w:rPr>
            </w:pPr>
            <w:r w:rsidRPr="000D5B87">
              <w:rPr>
                <w:rFonts w:ascii="Times New Roman" w:eastAsia="Calibri" w:hAnsi="Times New Roman" w:cs="Times New Roman"/>
                <w:b/>
                <w:lang w:val="bg-BG"/>
              </w:rPr>
              <w:t>14 073 894 219</w:t>
            </w:r>
          </w:p>
        </w:tc>
        <w:tc>
          <w:tcPr>
            <w:tcW w:w="1042" w:type="dxa"/>
          </w:tcPr>
          <w:p w:rsidR="00A843CC" w:rsidRPr="000D5B87" w:rsidRDefault="00A843CC" w:rsidP="00376DD3">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lang w:val="bg-BG"/>
              </w:rPr>
            </w:pPr>
            <w:r w:rsidRPr="000D5B87">
              <w:rPr>
                <w:rFonts w:ascii="Times New Roman" w:eastAsia="Calibri" w:hAnsi="Times New Roman" w:cs="Times New Roman"/>
                <w:b/>
                <w:lang w:val="bg-BG"/>
              </w:rPr>
              <w:t>8 040</w:t>
            </w:r>
          </w:p>
        </w:tc>
        <w:tc>
          <w:tcPr>
            <w:tcW w:w="1694" w:type="dxa"/>
          </w:tcPr>
          <w:p w:rsidR="00A843CC" w:rsidRPr="000D5B87" w:rsidRDefault="00A843CC" w:rsidP="00376DD3">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lang w:val="bg-BG"/>
              </w:rPr>
            </w:pPr>
            <w:r w:rsidRPr="000D5B87">
              <w:rPr>
                <w:rFonts w:ascii="Times New Roman" w:eastAsia="Calibri" w:hAnsi="Times New Roman" w:cs="Times New Roman"/>
                <w:b/>
                <w:lang w:val="bg-BG"/>
              </w:rPr>
              <w:t>8 363 376 963</w:t>
            </w:r>
          </w:p>
        </w:tc>
      </w:tr>
    </w:tbl>
    <w:p w:rsidR="00A843CC" w:rsidRPr="000D5B87" w:rsidRDefault="00A843CC" w:rsidP="00A843CC">
      <w:pPr>
        <w:spacing w:after="200" w:line="240" w:lineRule="auto"/>
        <w:jc w:val="both"/>
        <w:rPr>
          <w:rFonts w:ascii="Times New Roman" w:eastAsia="Calibri" w:hAnsi="Times New Roman" w:cs="Times New Roman"/>
          <w:i/>
          <w:sz w:val="20"/>
          <w:szCs w:val="20"/>
        </w:rPr>
      </w:pPr>
      <w:r w:rsidRPr="000D5B87">
        <w:rPr>
          <w:rFonts w:ascii="Times New Roman" w:eastAsia="Calibri" w:hAnsi="Times New Roman" w:cs="Times New Roman"/>
          <w:i/>
          <w:sz w:val="20"/>
          <w:szCs w:val="20"/>
        </w:rPr>
        <w:t>Източник: РПР на районите</w:t>
      </w:r>
      <w:r>
        <w:rPr>
          <w:rFonts w:ascii="Times New Roman" w:eastAsia="Calibri" w:hAnsi="Times New Roman" w:cs="Times New Roman"/>
          <w:i/>
          <w:sz w:val="20"/>
          <w:szCs w:val="20"/>
        </w:rPr>
        <w:t xml:space="preserve"> от ниво 2 за периода  2007</w:t>
      </w:r>
      <w:r w:rsidRPr="000D5B87">
        <w:rPr>
          <w:rFonts w:ascii="Times New Roman" w:eastAsia="Calibri" w:hAnsi="Times New Roman" w:cs="Times New Roman"/>
          <w:i/>
          <w:sz w:val="20"/>
          <w:szCs w:val="20"/>
        </w:rPr>
        <w:t xml:space="preserve"> – 2013 г.,  ИСУН към 15.09.2016 г.</w:t>
      </w:r>
    </w:p>
    <w:p w:rsidR="00410798" w:rsidRDefault="00A843CC" w:rsidP="00403AD9">
      <w:pPr>
        <w:spacing w:after="0" w:line="360" w:lineRule="auto"/>
        <w:jc w:val="both"/>
        <w:rPr>
          <w:rFonts w:ascii="Times New Roman" w:eastAsia="Calibri" w:hAnsi="Times New Roman" w:cs="Times New Roman"/>
          <w:sz w:val="24"/>
          <w:szCs w:val="24"/>
          <w:lang w:val="en-US"/>
        </w:rPr>
      </w:pPr>
      <w:r w:rsidRPr="000D5B87">
        <w:rPr>
          <w:rFonts w:ascii="Times New Roman" w:eastAsia="Calibri" w:hAnsi="Times New Roman" w:cs="Times New Roman"/>
          <w:sz w:val="24"/>
          <w:szCs w:val="24"/>
        </w:rPr>
        <w:tab/>
      </w:r>
    </w:p>
    <w:p w:rsidR="00A843CC" w:rsidRPr="00F9321F" w:rsidRDefault="00410798" w:rsidP="00403AD9">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ab/>
      </w:r>
      <w:r w:rsidR="00A843CC">
        <w:rPr>
          <w:rFonts w:ascii="Times New Roman" w:eastAsia="Calibri" w:hAnsi="Times New Roman" w:cs="Times New Roman"/>
          <w:sz w:val="24"/>
          <w:szCs w:val="24"/>
        </w:rPr>
        <w:t>В</w:t>
      </w:r>
      <w:r w:rsidR="00A843CC" w:rsidRPr="000D5B87">
        <w:rPr>
          <w:rFonts w:ascii="Times New Roman" w:eastAsia="Calibri" w:hAnsi="Times New Roman" w:cs="Times New Roman"/>
          <w:sz w:val="24"/>
          <w:szCs w:val="24"/>
        </w:rPr>
        <w:t>ъв всички райони са вложени повече средства от предвидените, което се обяснява с ранния етап на разработване на РПР и липсата на конкретна информация за разполагаемите финансови ресурси за периода на действие на плановете. Все пак</w:t>
      </w:r>
      <w:r w:rsidR="00A843CC">
        <w:rPr>
          <w:rFonts w:ascii="Times New Roman" w:eastAsia="Calibri" w:hAnsi="Times New Roman" w:cs="Times New Roman"/>
          <w:sz w:val="24"/>
          <w:szCs w:val="24"/>
        </w:rPr>
        <w:t>,</w:t>
      </w:r>
      <w:r w:rsidR="00A843CC" w:rsidRPr="000D5B87">
        <w:rPr>
          <w:rFonts w:ascii="Times New Roman" w:eastAsia="Calibri" w:hAnsi="Times New Roman" w:cs="Times New Roman"/>
          <w:sz w:val="24"/>
          <w:szCs w:val="24"/>
        </w:rPr>
        <w:t xml:space="preserve"> активността на регионите се оценява положително и допринася за ефективното и ефикасно финансово изпълнение на НСРР като цяло, тъй като това означава, че са положени усилия и са изпълнени интервенции за подобряване на социално-икономическото състояние на целевите райони. Важно е да се отбележи, че за регионалното развитие на България в периода 2005 – 2015 г. са използвани финансови средства и от предприсъединителните програми  - ФАР, ИСПА и САПАРД, а също и от ПРСР, ОПРСР, ПУДООС, Програмите за трансгранично сътрудничество с Гърция, Румъния, Сърбия, </w:t>
      </w:r>
      <w:r w:rsidR="00A843CC">
        <w:rPr>
          <w:rFonts w:ascii="Times New Roman" w:eastAsia="Calibri" w:hAnsi="Times New Roman" w:cs="Times New Roman"/>
          <w:sz w:val="24"/>
          <w:szCs w:val="24"/>
        </w:rPr>
        <w:t xml:space="preserve">Република Македония, </w:t>
      </w:r>
      <w:r w:rsidR="00A843CC" w:rsidRPr="000D5B87">
        <w:rPr>
          <w:rFonts w:ascii="Times New Roman" w:eastAsia="Calibri" w:hAnsi="Times New Roman" w:cs="Times New Roman"/>
          <w:sz w:val="24"/>
          <w:szCs w:val="24"/>
        </w:rPr>
        <w:t xml:space="preserve">Турция, ИНТЕРРЕГ IV C, национални програми, общински средства, както и от други източници. </w:t>
      </w:r>
    </w:p>
    <w:p w:rsidR="00A843CC" w:rsidRPr="000D5B87" w:rsidRDefault="00A843CC" w:rsidP="00403AD9">
      <w:pPr>
        <w:spacing w:after="0" w:line="360" w:lineRule="auto"/>
        <w:jc w:val="both"/>
        <w:rPr>
          <w:rFonts w:ascii="Times New Roman" w:eastAsia="Calibri" w:hAnsi="Times New Roman" w:cs="Times New Roman"/>
          <w:sz w:val="24"/>
          <w:szCs w:val="24"/>
        </w:rPr>
      </w:pPr>
      <w:r w:rsidRPr="000D5B87">
        <w:rPr>
          <w:rFonts w:ascii="Times New Roman" w:eastAsia="Calibri" w:hAnsi="Times New Roman" w:cs="Times New Roman"/>
          <w:sz w:val="24"/>
          <w:szCs w:val="24"/>
        </w:rPr>
        <w:lastRenderedPageBreak/>
        <w:tab/>
        <w:t xml:space="preserve">Водеща позиция заема ЮЗР, който се откроява със сериозна преднина пред останалите райони на страната по оползотворяване на средства от оперативните програми. На следващо място е ЮЦР, следван от ЮИР, СЦР, СИР и СЗР. </w:t>
      </w:r>
    </w:p>
    <w:p w:rsidR="00A843CC" w:rsidRPr="000D5B87" w:rsidRDefault="00661513" w:rsidP="00403AD9">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843CC" w:rsidRPr="000D5B87">
        <w:rPr>
          <w:rFonts w:ascii="Times New Roman" w:eastAsia="Calibri" w:hAnsi="Times New Roman" w:cs="Times New Roman"/>
          <w:sz w:val="24"/>
          <w:szCs w:val="24"/>
        </w:rPr>
        <w:t xml:space="preserve">Оползотворените средства надвишават индикативните бюджети за постигане на целите на отделните РПР 2007 – 2013 г. и респективно на НСРР 2005 – 2015 г., което е знак, че планирането е било </w:t>
      </w:r>
      <w:r w:rsidR="00A843CC">
        <w:rPr>
          <w:rFonts w:ascii="Times New Roman" w:eastAsia="Calibri" w:hAnsi="Times New Roman" w:cs="Times New Roman"/>
          <w:sz w:val="24"/>
          <w:szCs w:val="24"/>
        </w:rPr>
        <w:t>по-консервативно</w:t>
      </w:r>
      <w:r w:rsidR="00A843CC" w:rsidRPr="000D5B87">
        <w:rPr>
          <w:rFonts w:ascii="Times New Roman" w:eastAsia="Calibri" w:hAnsi="Times New Roman" w:cs="Times New Roman"/>
          <w:sz w:val="24"/>
          <w:szCs w:val="24"/>
        </w:rPr>
        <w:t xml:space="preserve">, но </w:t>
      </w:r>
      <w:r w:rsidR="00A843CC">
        <w:rPr>
          <w:rFonts w:ascii="Times New Roman" w:eastAsia="Calibri" w:hAnsi="Times New Roman" w:cs="Times New Roman"/>
          <w:sz w:val="24"/>
          <w:szCs w:val="24"/>
        </w:rPr>
        <w:t xml:space="preserve">значителната нужда от инвестиции за развитие и успешната реализация на програмите </w:t>
      </w:r>
      <w:r w:rsidR="00A843CC" w:rsidRPr="000D5B87">
        <w:rPr>
          <w:rFonts w:ascii="Times New Roman" w:eastAsia="Calibri" w:hAnsi="Times New Roman" w:cs="Times New Roman"/>
          <w:sz w:val="24"/>
          <w:szCs w:val="24"/>
        </w:rPr>
        <w:t xml:space="preserve">са </w:t>
      </w:r>
      <w:r w:rsidR="00A843CC">
        <w:rPr>
          <w:rFonts w:ascii="Times New Roman" w:eastAsia="Calibri" w:hAnsi="Times New Roman" w:cs="Times New Roman"/>
          <w:sz w:val="24"/>
          <w:szCs w:val="24"/>
        </w:rPr>
        <w:t xml:space="preserve">допринесли за увеличаване на </w:t>
      </w:r>
      <w:r w:rsidR="00A843CC" w:rsidRPr="000D5B87">
        <w:rPr>
          <w:rFonts w:ascii="Times New Roman" w:eastAsia="Calibri" w:hAnsi="Times New Roman" w:cs="Times New Roman"/>
          <w:sz w:val="24"/>
          <w:szCs w:val="24"/>
        </w:rPr>
        <w:t>средства</w:t>
      </w:r>
      <w:r w:rsidR="00A843CC">
        <w:rPr>
          <w:rFonts w:ascii="Times New Roman" w:eastAsia="Calibri" w:hAnsi="Times New Roman" w:cs="Times New Roman"/>
          <w:sz w:val="24"/>
          <w:szCs w:val="24"/>
        </w:rPr>
        <w:t>та за финансиране на проекти</w:t>
      </w:r>
      <w:r w:rsidR="00A843CC" w:rsidRPr="000D5B87">
        <w:rPr>
          <w:rFonts w:ascii="Times New Roman" w:eastAsia="Calibri" w:hAnsi="Times New Roman" w:cs="Times New Roman"/>
          <w:sz w:val="24"/>
          <w:szCs w:val="24"/>
        </w:rPr>
        <w:t xml:space="preserve"> в районите</w:t>
      </w:r>
      <w:r w:rsidR="00A843CC">
        <w:rPr>
          <w:rFonts w:ascii="Times New Roman" w:eastAsia="Calibri" w:hAnsi="Times New Roman" w:cs="Times New Roman"/>
          <w:sz w:val="24"/>
          <w:szCs w:val="24"/>
        </w:rPr>
        <w:t>.</w:t>
      </w:r>
      <w:r w:rsidR="00A843CC" w:rsidRPr="000D5B87">
        <w:rPr>
          <w:rFonts w:ascii="Times New Roman" w:eastAsia="Calibri" w:hAnsi="Times New Roman" w:cs="Times New Roman"/>
          <w:sz w:val="24"/>
          <w:szCs w:val="24"/>
        </w:rPr>
        <w:t xml:space="preserve"> От друга страна</w:t>
      </w:r>
      <w:r w:rsidR="00A843CC">
        <w:rPr>
          <w:rFonts w:ascii="Times New Roman" w:eastAsia="Calibri" w:hAnsi="Times New Roman" w:cs="Times New Roman"/>
          <w:sz w:val="24"/>
          <w:szCs w:val="24"/>
        </w:rPr>
        <w:t xml:space="preserve"> стои</w:t>
      </w:r>
      <w:r w:rsidR="00A843CC" w:rsidRPr="000D5B87">
        <w:rPr>
          <w:rFonts w:ascii="Times New Roman" w:eastAsia="Calibri" w:hAnsi="Times New Roman" w:cs="Times New Roman"/>
          <w:sz w:val="24"/>
          <w:szCs w:val="24"/>
        </w:rPr>
        <w:t xml:space="preserve"> въпросът за ефикасността </w:t>
      </w:r>
      <w:r w:rsidR="00A843CC">
        <w:rPr>
          <w:rFonts w:ascii="Times New Roman" w:eastAsia="Calibri" w:hAnsi="Times New Roman" w:cs="Times New Roman"/>
          <w:sz w:val="24"/>
          <w:szCs w:val="24"/>
        </w:rPr>
        <w:t>на използваните ресурси – отчита се задоволителна степен на реализация  на обема вложени средства спрямо постигнатите</w:t>
      </w:r>
      <w:r w:rsidR="00A843CC" w:rsidRPr="000D5B87">
        <w:rPr>
          <w:rFonts w:ascii="Times New Roman" w:eastAsia="Calibri" w:hAnsi="Times New Roman" w:cs="Times New Roman"/>
          <w:sz w:val="24"/>
          <w:szCs w:val="24"/>
        </w:rPr>
        <w:t xml:space="preserve"> </w:t>
      </w:r>
      <w:r w:rsidR="00A843CC">
        <w:rPr>
          <w:rFonts w:ascii="Times New Roman" w:eastAsia="Calibri" w:hAnsi="Times New Roman" w:cs="Times New Roman"/>
          <w:sz w:val="24"/>
          <w:szCs w:val="24"/>
        </w:rPr>
        <w:t>социално-икономически ефекти за</w:t>
      </w:r>
      <w:r w:rsidR="00A843CC" w:rsidRPr="000D5B87">
        <w:rPr>
          <w:rFonts w:ascii="Times New Roman" w:eastAsia="Calibri" w:hAnsi="Times New Roman" w:cs="Times New Roman"/>
          <w:sz w:val="24"/>
          <w:szCs w:val="24"/>
        </w:rPr>
        <w:t xml:space="preserve"> развитие</w:t>
      </w:r>
      <w:r w:rsidR="00A843CC">
        <w:rPr>
          <w:rFonts w:ascii="Times New Roman" w:eastAsia="Calibri" w:hAnsi="Times New Roman" w:cs="Times New Roman"/>
          <w:sz w:val="24"/>
          <w:szCs w:val="24"/>
        </w:rPr>
        <w:t>то на районите.</w:t>
      </w:r>
    </w:p>
    <w:p w:rsidR="00A843CC" w:rsidRPr="000D5B87" w:rsidRDefault="00A843CC" w:rsidP="00403AD9">
      <w:pPr>
        <w:spacing w:after="0" w:line="360" w:lineRule="auto"/>
        <w:jc w:val="both"/>
        <w:rPr>
          <w:rFonts w:ascii="Times New Roman" w:eastAsia="Calibri" w:hAnsi="Times New Roman" w:cs="Times New Roman"/>
          <w:sz w:val="24"/>
          <w:szCs w:val="24"/>
        </w:rPr>
      </w:pPr>
      <w:r w:rsidRPr="000D5B87">
        <w:rPr>
          <w:rFonts w:ascii="Times New Roman" w:eastAsia="Calibri" w:hAnsi="Times New Roman" w:cs="Times New Roman"/>
          <w:sz w:val="24"/>
          <w:szCs w:val="24"/>
        </w:rPr>
        <w:tab/>
        <w:t>Еф</w:t>
      </w:r>
      <w:r>
        <w:rPr>
          <w:rFonts w:ascii="Times New Roman" w:eastAsia="Calibri" w:hAnsi="Times New Roman" w:cs="Times New Roman"/>
          <w:sz w:val="24"/>
          <w:szCs w:val="24"/>
        </w:rPr>
        <w:t>ективното</w:t>
      </w:r>
      <w:r w:rsidRPr="000D5B87">
        <w:rPr>
          <w:rFonts w:ascii="Times New Roman" w:eastAsia="Calibri" w:hAnsi="Times New Roman" w:cs="Times New Roman"/>
          <w:sz w:val="24"/>
          <w:szCs w:val="24"/>
        </w:rPr>
        <w:t xml:space="preserve"> използване на финансови средства от европейските фондове е негативно повлияно от често допускани грешки при възлагането на обществени поръчки, което от своя страна коства допълнително време и допълнителни финансови ресурси на бенефициентите и на държавата.</w:t>
      </w:r>
    </w:p>
    <w:p w:rsidR="00A843CC" w:rsidRPr="000D5B87" w:rsidRDefault="00A843CC" w:rsidP="00410798">
      <w:pPr>
        <w:spacing w:after="0" w:line="360" w:lineRule="auto"/>
        <w:jc w:val="both"/>
        <w:rPr>
          <w:rFonts w:ascii="Times New Roman" w:eastAsia="Calibri" w:hAnsi="Times New Roman" w:cs="Times New Roman"/>
          <w:sz w:val="24"/>
          <w:szCs w:val="24"/>
        </w:rPr>
      </w:pPr>
      <w:r w:rsidRPr="000D5B87">
        <w:rPr>
          <w:rFonts w:ascii="Times New Roman" w:eastAsia="Calibri" w:hAnsi="Times New Roman" w:cs="Times New Roman"/>
          <w:sz w:val="24"/>
          <w:szCs w:val="24"/>
        </w:rPr>
        <w:tab/>
        <w:t xml:space="preserve">Всички райони са подпомогнати в развитието си </w:t>
      </w:r>
      <w:r>
        <w:rPr>
          <w:rFonts w:ascii="Times New Roman" w:eastAsia="Calibri" w:hAnsi="Times New Roman" w:cs="Times New Roman"/>
          <w:sz w:val="24"/>
          <w:szCs w:val="24"/>
        </w:rPr>
        <w:t>чрез</w:t>
      </w:r>
      <w:r w:rsidRPr="000D5B87">
        <w:rPr>
          <w:rFonts w:ascii="Times New Roman" w:eastAsia="Calibri" w:hAnsi="Times New Roman" w:cs="Times New Roman"/>
          <w:sz w:val="24"/>
          <w:szCs w:val="24"/>
        </w:rPr>
        <w:t xml:space="preserve"> финансовите средства, предоставяни от ЕС и са постигнали съществен напредък в сравнение с 2005 г., което се вижда от анализа на общите икономически показатели. Все още, в сравнение с останалите </w:t>
      </w:r>
      <w:r>
        <w:rPr>
          <w:rFonts w:ascii="Times New Roman" w:eastAsia="Calibri" w:hAnsi="Times New Roman" w:cs="Times New Roman"/>
          <w:sz w:val="24"/>
          <w:szCs w:val="24"/>
        </w:rPr>
        <w:t>държави</w:t>
      </w:r>
      <w:r w:rsidRPr="000D5B87">
        <w:rPr>
          <w:rFonts w:ascii="Times New Roman" w:eastAsia="Calibri" w:hAnsi="Times New Roman" w:cs="Times New Roman"/>
          <w:sz w:val="24"/>
          <w:szCs w:val="24"/>
        </w:rPr>
        <w:t xml:space="preserve"> от ЕС, България има нужда да развива регионите си </w:t>
      </w:r>
      <w:r>
        <w:rPr>
          <w:rFonts w:ascii="Times New Roman" w:eastAsia="Calibri" w:hAnsi="Times New Roman" w:cs="Times New Roman"/>
          <w:sz w:val="24"/>
          <w:szCs w:val="24"/>
        </w:rPr>
        <w:t>с ускорени темпове за постигане на средните европейски</w:t>
      </w:r>
      <w:r w:rsidRPr="000D5B87">
        <w:rPr>
          <w:rFonts w:ascii="Times New Roman" w:eastAsia="Calibri" w:hAnsi="Times New Roman" w:cs="Times New Roman"/>
          <w:sz w:val="24"/>
          <w:szCs w:val="24"/>
        </w:rPr>
        <w:t xml:space="preserve"> </w:t>
      </w:r>
      <w:r>
        <w:rPr>
          <w:rFonts w:ascii="Times New Roman" w:eastAsia="Calibri" w:hAnsi="Times New Roman" w:cs="Times New Roman"/>
          <w:sz w:val="24"/>
          <w:szCs w:val="24"/>
        </w:rPr>
        <w:t>нива и стандарти, като разчита на относителните предимства и разкриването на нови потенциали за интегрирано развитие на районите и общините в страната.</w:t>
      </w:r>
    </w:p>
    <w:p w:rsidR="002F1F54" w:rsidRDefault="00A843CC" w:rsidP="00410798">
      <w:pPr>
        <w:spacing w:after="0" w:line="360" w:lineRule="auto"/>
        <w:ind w:left="709" w:hanging="709"/>
        <w:jc w:val="both"/>
        <w:rPr>
          <w:rFonts w:ascii="Times New Roman" w:eastAsia="Calibri" w:hAnsi="Times New Roman" w:cs="Times New Roman"/>
          <w:b/>
          <w:sz w:val="24"/>
          <w:szCs w:val="24"/>
        </w:rPr>
      </w:pPr>
      <w:r w:rsidRPr="005D1B8A">
        <w:rPr>
          <w:rFonts w:ascii="Times New Roman" w:eastAsia="Calibri" w:hAnsi="Times New Roman" w:cs="Times New Roman"/>
          <w:b/>
          <w:sz w:val="24"/>
          <w:szCs w:val="24"/>
        </w:rPr>
        <w:tab/>
      </w:r>
    </w:p>
    <w:p w:rsidR="00A843CC" w:rsidRPr="005D1B8A" w:rsidRDefault="002F1F54" w:rsidP="00410798">
      <w:pPr>
        <w:spacing w:after="0" w:line="360" w:lineRule="auto"/>
        <w:ind w:left="709" w:hanging="709"/>
        <w:jc w:val="both"/>
        <w:rPr>
          <w:rFonts w:ascii="Times New Roman" w:eastAsia="Calibri" w:hAnsi="Times New Roman" w:cs="Times New Roman"/>
          <w:b/>
          <w:sz w:val="24"/>
          <w:szCs w:val="24"/>
        </w:rPr>
      </w:pPr>
      <w:r>
        <w:rPr>
          <w:rFonts w:ascii="Times New Roman" w:eastAsia="Calibri" w:hAnsi="Times New Roman" w:cs="Times New Roman"/>
          <w:b/>
          <w:sz w:val="24"/>
          <w:szCs w:val="24"/>
        </w:rPr>
        <w:tab/>
      </w:r>
      <w:r w:rsidR="00A843CC" w:rsidRPr="005D1B8A">
        <w:rPr>
          <w:rFonts w:ascii="Times New Roman" w:eastAsia="Calibri" w:hAnsi="Times New Roman" w:cs="Times New Roman"/>
          <w:b/>
          <w:sz w:val="24"/>
          <w:szCs w:val="24"/>
        </w:rPr>
        <w:t>Таблица</w:t>
      </w:r>
      <w:r w:rsidR="00FD1A13">
        <w:rPr>
          <w:rFonts w:ascii="Times New Roman" w:eastAsia="Calibri" w:hAnsi="Times New Roman" w:cs="Times New Roman"/>
          <w:b/>
          <w:sz w:val="24"/>
          <w:szCs w:val="24"/>
        </w:rPr>
        <w:t xml:space="preserve"> </w:t>
      </w:r>
      <w:r w:rsidR="00FD1A13">
        <w:rPr>
          <w:rFonts w:ascii="Times New Roman" w:eastAsia="Calibri" w:hAnsi="Times New Roman" w:cs="Times New Roman"/>
          <w:b/>
          <w:sz w:val="24"/>
          <w:szCs w:val="24"/>
          <w:lang w:val="en-US"/>
        </w:rPr>
        <w:t>6</w:t>
      </w:r>
      <w:r>
        <w:rPr>
          <w:rFonts w:ascii="Times New Roman" w:eastAsia="Calibri" w:hAnsi="Times New Roman" w:cs="Times New Roman"/>
          <w:b/>
          <w:sz w:val="24"/>
          <w:szCs w:val="24"/>
        </w:rPr>
        <w:t xml:space="preserve">. </w:t>
      </w:r>
      <w:r w:rsidR="00A843CC" w:rsidRPr="005D1B8A">
        <w:rPr>
          <w:rFonts w:ascii="Times New Roman" w:eastAsia="Calibri" w:hAnsi="Times New Roman" w:cs="Times New Roman"/>
          <w:b/>
          <w:sz w:val="24"/>
          <w:szCs w:val="24"/>
        </w:rPr>
        <w:t>Разпределение на усвоените ресурси</w:t>
      </w:r>
      <w:r w:rsidR="00376DD3">
        <w:rPr>
          <w:rFonts w:ascii="Times New Roman" w:eastAsia="Calibri" w:hAnsi="Times New Roman" w:cs="Times New Roman"/>
          <w:b/>
          <w:sz w:val="24"/>
          <w:szCs w:val="24"/>
        </w:rPr>
        <w:t>/ инвестициите</w:t>
      </w:r>
      <w:r w:rsidR="00A843CC" w:rsidRPr="005D1B8A">
        <w:rPr>
          <w:rFonts w:ascii="Times New Roman" w:eastAsia="Calibri" w:hAnsi="Times New Roman" w:cs="Times New Roman"/>
          <w:b/>
          <w:sz w:val="24"/>
          <w:szCs w:val="24"/>
        </w:rPr>
        <w:t xml:space="preserve"> за развитие по райони от ниво 2 за периода 2005-2015 г.</w:t>
      </w:r>
      <w:r w:rsidR="00A843CC" w:rsidRPr="005D1B8A">
        <w:rPr>
          <w:rFonts w:ascii="Times New Roman" w:eastAsia="Calibri" w:hAnsi="Times New Roman" w:cs="Times New Roman"/>
          <w:b/>
          <w:sz w:val="24"/>
          <w:szCs w:val="24"/>
        </w:rPr>
        <w:tab/>
      </w:r>
    </w:p>
    <w:tbl>
      <w:tblPr>
        <w:tblStyle w:val="TableGrid"/>
        <w:tblW w:w="0" w:type="auto"/>
        <w:tblLook w:val="04A0" w:firstRow="1" w:lastRow="0" w:firstColumn="1" w:lastColumn="0" w:noHBand="0" w:noVBand="1"/>
      </w:tblPr>
      <w:tblGrid>
        <w:gridCol w:w="1030"/>
        <w:gridCol w:w="2049"/>
        <w:gridCol w:w="1394"/>
        <w:gridCol w:w="1360"/>
        <w:gridCol w:w="1555"/>
        <w:gridCol w:w="1555"/>
      </w:tblGrid>
      <w:tr w:rsidR="00A843CC" w:rsidRPr="0048593F" w:rsidTr="00376DD3">
        <w:tc>
          <w:tcPr>
            <w:tcW w:w="1030" w:type="dxa"/>
            <w:shd w:val="clear" w:color="auto" w:fill="5B9BD5" w:themeFill="accent1"/>
          </w:tcPr>
          <w:p w:rsidR="00A843CC" w:rsidRPr="0048593F" w:rsidRDefault="00A843CC" w:rsidP="00410798">
            <w:pPr>
              <w:jc w:val="center"/>
              <w:rPr>
                <w:rFonts w:ascii="Times New Roman" w:eastAsia="Calibri" w:hAnsi="Times New Roman" w:cs="Times New Roman"/>
                <w:b/>
                <w:color w:val="FFFFFF" w:themeColor="background1"/>
                <w:sz w:val="24"/>
                <w:szCs w:val="24"/>
              </w:rPr>
            </w:pPr>
            <w:r w:rsidRPr="0048593F">
              <w:rPr>
                <w:rFonts w:ascii="Times New Roman" w:eastAsia="Calibri" w:hAnsi="Times New Roman" w:cs="Times New Roman"/>
                <w:b/>
                <w:color w:val="FFFFFF" w:themeColor="background1"/>
                <w:sz w:val="24"/>
                <w:szCs w:val="24"/>
              </w:rPr>
              <w:t>Район</w:t>
            </w:r>
          </w:p>
        </w:tc>
        <w:tc>
          <w:tcPr>
            <w:tcW w:w="2049" w:type="dxa"/>
            <w:shd w:val="clear" w:color="auto" w:fill="5B9BD5" w:themeFill="accent1"/>
          </w:tcPr>
          <w:p w:rsidR="00A843CC" w:rsidRPr="0048593F" w:rsidRDefault="00A843CC" w:rsidP="00410798">
            <w:pPr>
              <w:jc w:val="center"/>
              <w:rPr>
                <w:rFonts w:ascii="Times New Roman" w:eastAsia="Calibri" w:hAnsi="Times New Roman" w:cs="Times New Roman"/>
                <w:b/>
                <w:color w:val="FFFFFF" w:themeColor="background1"/>
                <w:sz w:val="24"/>
                <w:szCs w:val="24"/>
              </w:rPr>
            </w:pPr>
            <w:r w:rsidRPr="0048593F">
              <w:rPr>
                <w:rFonts w:ascii="Times New Roman" w:eastAsia="Calibri" w:hAnsi="Times New Roman" w:cs="Times New Roman"/>
                <w:b/>
                <w:color w:val="FFFFFF" w:themeColor="background1"/>
                <w:sz w:val="24"/>
                <w:szCs w:val="24"/>
              </w:rPr>
              <w:t>Усвоени ресурси  2005-2015 г.</w:t>
            </w:r>
          </w:p>
          <w:p w:rsidR="00A843CC" w:rsidRPr="0048593F" w:rsidRDefault="00A843CC" w:rsidP="00410798">
            <w:pPr>
              <w:jc w:val="center"/>
              <w:rPr>
                <w:rFonts w:ascii="Times New Roman" w:eastAsia="Calibri" w:hAnsi="Times New Roman" w:cs="Times New Roman"/>
                <w:b/>
                <w:color w:val="FFFFFF" w:themeColor="background1"/>
                <w:sz w:val="24"/>
                <w:szCs w:val="24"/>
              </w:rPr>
            </w:pPr>
            <w:r w:rsidRPr="0048593F">
              <w:rPr>
                <w:rFonts w:ascii="Times New Roman" w:eastAsia="Calibri" w:hAnsi="Times New Roman" w:cs="Times New Roman"/>
                <w:b/>
                <w:color w:val="FFFFFF" w:themeColor="background1"/>
                <w:sz w:val="24"/>
                <w:szCs w:val="24"/>
              </w:rPr>
              <w:t>(лв.)</w:t>
            </w:r>
          </w:p>
        </w:tc>
        <w:tc>
          <w:tcPr>
            <w:tcW w:w="1323" w:type="dxa"/>
            <w:shd w:val="clear" w:color="auto" w:fill="5B9BD5" w:themeFill="accent1"/>
          </w:tcPr>
          <w:p w:rsidR="00A843CC" w:rsidRPr="0048593F" w:rsidRDefault="00A843CC" w:rsidP="00410798">
            <w:pPr>
              <w:jc w:val="center"/>
              <w:rPr>
                <w:rFonts w:ascii="Times New Roman" w:eastAsia="Calibri" w:hAnsi="Times New Roman" w:cs="Times New Roman"/>
                <w:b/>
                <w:color w:val="FFFFFF" w:themeColor="background1"/>
                <w:sz w:val="24"/>
                <w:szCs w:val="24"/>
              </w:rPr>
            </w:pPr>
            <w:r w:rsidRPr="0048593F">
              <w:rPr>
                <w:rFonts w:ascii="Times New Roman" w:eastAsia="Calibri" w:hAnsi="Times New Roman" w:cs="Times New Roman"/>
                <w:b/>
                <w:color w:val="FFFFFF" w:themeColor="background1"/>
                <w:sz w:val="24"/>
                <w:szCs w:val="24"/>
              </w:rPr>
              <w:t>Територия</w:t>
            </w:r>
          </w:p>
          <w:p w:rsidR="00A843CC" w:rsidRPr="0048593F" w:rsidRDefault="00A843CC" w:rsidP="00410798">
            <w:pPr>
              <w:jc w:val="center"/>
              <w:rPr>
                <w:rFonts w:ascii="Times New Roman" w:eastAsia="Calibri" w:hAnsi="Times New Roman" w:cs="Times New Roman"/>
                <w:b/>
                <w:color w:val="FFFFFF" w:themeColor="background1"/>
                <w:sz w:val="24"/>
                <w:szCs w:val="24"/>
              </w:rPr>
            </w:pPr>
            <w:r w:rsidRPr="0048593F">
              <w:rPr>
                <w:rFonts w:ascii="Times New Roman" w:eastAsia="Calibri" w:hAnsi="Times New Roman" w:cs="Times New Roman"/>
                <w:b/>
                <w:color w:val="FFFFFF" w:themeColor="background1"/>
                <w:sz w:val="24"/>
                <w:szCs w:val="24"/>
              </w:rPr>
              <w:t>(кв. км)</w:t>
            </w:r>
          </w:p>
        </w:tc>
        <w:tc>
          <w:tcPr>
            <w:tcW w:w="1322" w:type="dxa"/>
            <w:shd w:val="clear" w:color="auto" w:fill="5B9BD5" w:themeFill="accent1"/>
          </w:tcPr>
          <w:p w:rsidR="00A843CC" w:rsidRPr="0048593F" w:rsidRDefault="00A843CC" w:rsidP="00410798">
            <w:pPr>
              <w:jc w:val="center"/>
              <w:rPr>
                <w:rFonts w:ascii="Times New Roman" w:eastAsia="Calibri" w:hAnsi="Times New Roman" w:cs="Times New Roman"/>
                <w:b/>
                <w:color w:val="FFFFFF" w:themeColor="background1"/>
                <w:sz w:val="24"/>
                <w:szCs w:val="24"/>
              </w:rPr>
            </w:pPr>
            <w:r w:rsidRPr="0048593F">
              <w:rPr>
                <w:rFonts w:ascii="Times New Roman" w:eastAsia="Calibri" w:hAnsi="Times New Roman" w:cs="Times New Roman"/>
                <w:b/>
                <w:color w:val="FFFFFF" w:themeColor="background1"/>
                <w:sz w:val="24"/>
                <w:szCs w:val="24"/>
              </w:rPr>
              <w:t>Население (бр.)</w:t>
            </w:r>
          </w:p>
        </w:tc>
        <w:tc>
          <w:tcPr>
            <w:tcW w:w="1463" w:type="dxa"/>
            <w:shd w:val="clear" w:color="auto" w:fill="5B9BD5" w:themeFill="accent1"/>
          </w:tcPr>
          <w:p w:rsidR="00A843CC" w:rsidRPr="0048593F" w:rsidRDefault="00A843CC" w:rsidP="00410798">
            <w:pPr>
              <w:jc w:val="center"/>
              <w:rPr>
                <w:rFonts w:ascii="Times New Roman" w:eastAsia="Calibri" w:hAnsi="Times New Roman" w:cs="Times New Roman"/>
                <w:b/>
                <w:color w:val="FFFFFF" w:themeColor="background1"/>
                <w:sz w:val="24"/>
                <w:szCs w:val="24"/>
              </w:rPr>
            </w:pPr>
            <w:r w:rsidRPr="0048593F">
              <w:rPr>
                <w:rFonts w:ascii="Times New Roman" w:eastAsia="Calibri" w:hAnsi="Times New Roman" w:cs="Times New Roman"/>
                <w:b/>
                <w:color w:val="FFFFFF" w:themeColor="background1"/>
                <w:sz w:val="24"/>
                <w:szCs w:val="24"/>
              </w:rPr>
              <w:t>Инвестиции на човек (лв.)</w:t>
            </w:r>
          </w:p>
        </w:tc>
        <w:tc>
          <w:tcPr>
            <w:tcW w:w="1463" w:type="dxa"/>
            <w:shd w:val="clear" w:color="auto" w:fill="5B9BD5" w:themeFill="accent1"/>
          </w:tcPr>
          <w:p w:rsidR="00A843CC" w:rsidRPr="0048593F" w:rsidRDefault="00A843CC" w:rsidP="00410798">
            <w:pPr>
              <w:jc w:val="center"/>
              <w:rPr>
                <w:rFonts w:ascii="Times New Roman" w:eastAsia="Calibri" w:hAnsi="Times New Roman" w:cs="Times New Roman"/>
                <w:b/>
                <w:color w:val="FFFFFF" w:themeColor="background1"/>
                <w:sz w:val="24"/>
                <w:szCs w:val="24"/>
              </w:rPr>
            </w:pPr>
            <w:r w:rsidRPr="0048593F">
              <w:rPr>
                <w:rFonts w:ascii="Times New Roman" w:eastAsia="Calibri" w:hAnsi="Times New Roman" w:cs="Times New Roman"/>
                <w:b/>
                <w:color w:val="FFFFFF" w:themeColor="background1"/>
                <w:sz w:val="24"/>
                <w:szCs w:val="24"/>
              </w:rPr>
              <w:t>Инвестиции на кв. км</w:t>
            </w:r>
          </w:p>
          <w:p w:rsidR="00A843CC" w:rsidRPr="0048593F" w:rsidRDefault="00A843CC" w:rsidP="00410798">
            <w:pPr>
              <w:jc w:val="center"/>
              <w:rPr>
                <w:rFonts w:ascii="Times New Roman" w:eastAsia="Calibri" w:hAnsi="Times New Roman" w:cs="Times New Roman"/>
                <w:b/>
                <w:color w:val="FFFFFF" w:themeColor="background1"/>
                <w:sz w:val="24"/>
                <w:szCs w:val="24"/>
              </w:rPr>
            </w:pPr>
            <w:r w:rsidRPr="0048593F">
              <w:rPr>
                <w:rFonts w:ascii="Times New Roman" w:eastAsia="Calibri" w:hAnsi="Times New Roman" w:cs="Times New Roman"/>
                <w:b/>
                <w:color w:val="FFFFFF" w:themeColor="background1"/>
                <w:sz w:val="24"/>
                <w:szCs w:val="24"/>
              </w:rPr>
              <w:t>(лв.)</w:t>
            </w:r>
          </w:p>
        </w:tc>
      </w:tr>
      <w:tr w:rsidR="00A843CC" w:rsidTr="00376DD3">
        <w:tc>
          <w:tcPr>
            <w:tcW w:w="1030" w:type="dxa"/>
          </w:tcPr>
          <w:p w:rsidR="00A843CC" w:rsidRPr="005D1B8A" w:rsidRDefault="00A843CC" w:rsidP="00410798">
            <w:pPr>
              <w:spacing w:line="360" w:lineRule="auto"/>
              <w:jc w:val="both"/>
              <w:rPr>
                <w:rFonts w:ascii="Times New Roman" w:eastAsia="Calibri" w:hAnsi="Times New Roman" w:cs="Times New Roman"/>
                <w:b/>
                <w:sz w:val="24"/>
                <w:szCs w:val="24"/>
              </w:rPr>
            </w:pPr>
            <w:r w:rsidRPr="005D1B8A">
              <w:rPr>
                <w:rFonts w:ascii="Times New Roman" w:eastAsia="Calibri" w:hAnsi="Times New Roman" w:cs="Times New Roman"/>
                <w:b/>
                <w:sz w:val="24"/>
                <w:szCs w:val="24"/>
              </w:rPr>
              <w:t>СЗР</w:t>
            </w:r>
          </w:p>
        </w:tc>
        <w:tc>
          <w:tcPr>
            <w:tcW w:w="2049" w:type="dxa"/>
          </w:tcPr>
          <w:p w:rsidR="00A843CC" w:rsidRDefault="00A843CC" w:rsidP="00410798">
            <w:pPr>
              <w:spacing w:line="360" w:lineRule="auto"/>
              <w:jc w:val="both"/>
              <w:rPr>
                <w:rFonts w:ascii="Times New Roman" w:eastAsia="Calibri" w:hAnsi="Times New Roman" w:cs="Times New Roman"/>
                <w:sz w:val="24"/>
                <w:szCs w:val="24"/>
              </w:rPr>
            </w:pPr>
            <w:r w:rsidRPr="000D5B87">
              <w:rPr>
                <w:rFonts w:ascii="Times New Roman" w:eastAsia="Calibri" w:hAnsi="Times New Roman" w:cs="Times New Roman"/>
              </w:rPr>
              <w:t>754 017 077</w:t>
            </w:r>
          </w:p>
        </w:tc>
        <w:tc>
          <w:tcPr>
            <w:tcW w:w="1323" w:type="dxa"/>
          </w:tcPr>
          <w:p w:rsidR="00A843CC" w:rsidRDefault="00A843CC" w:rsidP="0041079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19 047</w:t>
            </w:r>
          </w:p>
        </w:tc>
        <w:tc>
          <w:tcPr>
            <w:tcW w:w="1322" w:type="dxa"/>
          </w:tcPr>
          <w:p w:rsidR="00A843CC" w:rsidRDefault="00A843CC" w:rsidP="0041079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797142</w:t>
            </w:r>
          </w:p>
        </w:tc>
        <w:tc>
          <w:tcPr>
            <w:tcW w:w="1463" w:type="dxa"/>
          </w:tcPr>
          <w:p w:rsidR="00A843CC" w:rsidRDefault="00A843CC" w:rsidP="0041079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945,90</w:t>
            </w:r>
          </w:p>
        </w:tc>
        <w:tc>
          <w:tcPr>
            <w:tcW w:w="1463" w:type="dxa"/>
          </w:tcPr>
          <w:p w:rsidR="00A843CC" w:rsidRDefault="00A843CC" w:rsidP="0041079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39587</w:t>
            </w:r>
          </w:p>
        </w:tc>
      </w:tr>
      <w:tr w:rsidR="00A843CC" w:rsidTr="00376DD3">
        <w:tc>
          <w:tcPr>
            <w:tcW w:w="1030" w:type="dxa"/>
          </w:tcPr>
          <w:p w:rsidR="00A843CC" w:rsidRPr="005D1B8A" w:rsidRDefault="00A843CC" w:rsidP="00410798">
            <w:pPr>
              <w:spacing w:line="360" w:lineRule="auto"/>
              <w:jc w:val="both"/>
              <w:rPr>
                <w:rFonts w:ascii="Times New Roman" w:eastAsia="Calibri" w:hAnsi="Times New Roman" w:cs="Times New Roman"/>
                <w:b/>
                <w:sz w:val="24"/>
                <w:szCs w:val="24"/>
              </w:rPr>
            </w:pPr>
            <w:r w:rsidRPr="005D1B8A">
              <w:rPr>
                <w:rFonts w:ascii="Times New Roman" w:eastAsia="Calibri" w:hAnsi="Times New Roman" w:cs="Times New Roman"/>
                <w:b/>
                <w:sz w:val="24"/>
                <w:szCs w:val="24"/>
              </w:rPr>
              <w:t>СЦР</w:t>
            </w:r>
          </w:p>
        </w:tc>
        <w:tc>
          <w:tcPr>
            <w:tcW w:w="2049" w:type="dxa"/>
          </w:tcPr>
          <w:p w:rsidR="00A843CC" w:rsidRDefault="00A843CC" w:rsidP="00410798">
            <w:pPr>
              <w:spacing w:line="360" w:lineRule="auto"/>
              <w:jc w:val="both"/>
              <w:rPr>
                <w:rFonts w:ascii="Times New Roman" w:eastAsia="Calibri" w:hAnsi="Times New Roman" w:cs="Times New Roman"/>
                <w:sz w:val="24"/>
                <w:szCs w:val="24"/>
              </w:rPr>
            </w:pPr>
            <w:r w:rsidRPr="000D5B87">
              <w:rPr>
                <w:rFonts w:ascii="Times New Roman" w:eastAsia="Calibri" w:hAnsi="Times New Roman" w:cs="Times New Roman"/>
              </w:rPr>
              <w:t>996 083 257</w:t>
            </w:r>
          </w:p>
        </w:tc>
        <w:tc>
          <w:tcPr>
            <w:tcW w:w="1323" w:type="dxa"/>
          </w:tcPr>
          <w:p w:rsidR="00A843CC" w:rsidRDefault="00A843CC" w:rsidP="0041079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14 668</w:t>
            </w:r>
          </w:p>
        </w:tc>
        <w:tc>
          <w:tcPr>
            <w:tcW w:w="1322" w:type="dxa"/>
          </w:tcPr>
          <w:p w:rsidR="00A843CC" w:rsidRDefault="00A843CC" w:rsidP="0041079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825536</w:t>
            </w:r>
          </w:p>
        </w:tc>
        <w:tc>
          <w:tcPr>
            <w:tcW w:w="1463" w:type="dxa"/>
          </w:tcPr>
          <w:p w:rsidR="00A843CC" w:rsidRDefault="00A843CC" w:rsidP="0041079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1206,59</w:t>
            </w:r>
          </w:p>
        </w:tc>
        <w:tc>
          <w:tcPr>
            <w:tcW w:w="1463" w:type="dxa"/>
          </w:tcPr>
          <w:p w:rsidR="00A843CC" w:rsidRDefault="00A843CC" w:rsidP="0041079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67908</w:t>
            </w:r>
          </w:p>
        </w:tc>
      </w:tr>
      <w:tr w:rsidR="00A843CC" w:rsidTr="00376DD3">
        <w:tc>
          <w:tcPr>
            <w:tcW w:w="1030" w:type="dxa"/>
          </w:tcPr>
          <w:p w:rsidR="00A843CC" w:rsidRPr="005D1B8A" w:rsidRDefault="00A843CC" w:rsidP="00410798">
            <w:pPr>
              <w:spacing w:line="360" w:lineRule="auto"/>
              <w:jc w:val="both"/>
              <w:rPr>
                <w:rFonts w:ascii="Times New Roman" w:eastAsia="Calibri" w:hAnsi="Times New Roman" w:cs="Times New Roman"/>
                <w:b/>
                <w:sz w:val="24"/>
                <w:szCs w:val="24"/>
              </w:rPr>
            </w:pPr>
            <w:r w:rsidRPr="005D1B8A">
              <w:rPr>
                <w:rFonts w:ascii="Times New Roman" w:eastAsia="Calibri" w:hAnsi="Times New Roman" w:cs="Times New Roman"/>
                <w:b/>
                <w:sz w:val="24"/>
                <w:szCs w:val="24"/>
              </w:rPr>
              <w:t>СИР</w:t>
            </w:r>
          </w:p>
        </w:tc>
        <w:tc>
          <w:tcPr>
            <w:tcW w:w="2049" w:type="dxa"/>
          </w:tcPr>
          <w:p w:rsidR="00A843CC" w:rsidRDefault="00A843CC" w:rsidP="00410798">
            <w:pPr>
              <w:spacing w:line="360" w:lineRule="auto"/>
              <w:jc w:val="both"/>
              <w:rPr>
                <w:rFonts w:ascii="Times New Roman" w:eastAsia="Calibri" w:hAnsi="Times New Roman" w:cs="Times New Roman"/>
                <w:sz w:val="24"/>
                <w:szCs w:val="24"/>
              </w:rPr>
            </w:pPr>
            <w:r w:rsidRPr="000D5B87">
              <w:rPr>
                <w:rFonts w:ascii="Times New Roman" w:eastAsia="Calibri" w:hAnsi="Times New Roman" w:cs="Times New Roman"/>
              </w:rPr>
              <w:t>800 965 045</w:t>
            </w:r>
          </w:p>
        </w:tc>
        <w:tc>
          <w:tcPr>
            <w:tcW w:w="1323" w:type="dxa"/>
          </w:tcPr>
          <w:p w:rsidR="00A843CC" w:rsidRDefault="00A843CC" w:rsidP="0041079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14 645</w:t>
            </w:r>
          </w:p>
        </w:tc>
        <w:tc>
          <w:tcPr>
            <w:tcW w:w="1322" w:type="dxa"/>
          </w:tcPr>
          <w:p w:rsidR="00A843CC" w:rsidRDefault="00A843CC" w:rsidP="0041079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949957</w:t>
            </w:r>
          </w:p>
        </w:tc>
        <w:tc>
          <w:tcPr>
            <w:tcW w:w="1463" w:type="dxa"/>
          </w:tcPr>
          <w:p w:rsidR="00A843CC" w:rsidRDefault="00A843CC" w:rsidP="0041079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843,16</w:t>
            </w:r>
          </w:p>
        </w:tc>
        <w:tc>
          <w:tcPr>
            <w:tcW w:w="1463" w:type="dxa"/>
          </w:tcPr>
          <w:p w:rsidR="00A843CC" w:rsidRDefault="00A843CC" w:rsidP="0041079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54692</w:t>
            </w:r>
          </w:p>
        </w:tc>
      </w:tr>
      <w:tr w:rsidR="00A843CC" w:rsidTr="00376DD3">
        <w:tc>
          <w:tcPr>
            <w:tcW w:w="1030" w:type="dxa"/>
          </w:tcPr>
          <w:p w:rsidR="00A843CC" w:rsidRPr="005D1B8A" w:rsidRDefault="00A843CC" w:rsidP="00410798">
            <w:pPr>
              <w:spacing w:line="360" w:lineRule="auto"/>
              <w:jc w:val="both"/>
              <w:rPr>
                <w:rFonts w:ascii="Times New Roman" w:eastAsia="Calibri" w:hAnsi="Times New Roman" w:cs="Times New Roman"/>
                <w:b/>
                <w:sz w:val="24"/>
                <w:szCs w:val="24"/>
              </w:rPr>
            </w:pPr>
            <w:r w:rsidRPr="005D1B8A">
              <w:rPr>
                <w:rFonts w:ascii="Times New Roman" w:eastAsia="Calibri" w:hAnsi="Times New Roman" w:cs="Times New Roman"/>
                <w:b/>
                <w:sz w:val="24"/>
                <w:szCs w:val="24"/>
              </w:rPr>
              <w:t>ЮИР</w:t>
            </w:r>
          </w:p>
        </w:tc>
        <w:tc>
          <w:tcPr>
            <w:tcW w:w="2049" w:type="dxa"/>
          </w:tcPr>
          <w:p w:rsidR="00A843CC" w:rsidRDefault="00A843CC" w:rsidP="00410798">
            <w:pPr>
              <w:spacing w:line="360" w:lineRule="auto"/>
              <w:jc w:val="both"/>
              <w:rPr>
                <w:rFonts w:ascii="Times New Roman" w:eastAsia="Calibri" w:hAnsi="Times New Roman" w:cs="Times New Roman"/>
                <w:sz w:val="24"/>
                <w:szCs w:val="24"/>
              </w:rPr>
            </w:pPr>
            <w:r w:rsidRPr="000D5B87">
              <w:rPr>
                <w:rFonts w:ascii="Times New Roman" w:eastAsia="Calibri" w:hAnsi="Times New Roman" w:cs="Times New Roman"/>
              </w:rPr>
              <w:t>1 860 677 757</w:t>
            </w:r>
          </w:p>
        </w:tc>
        <w:tc>
          <w:tcPr>
            <w:tcW w:w="1323" w:type="dxa"/>
          </w:tcPr>
          <w:p w:rsidR="00A843CC" w:rsidRDefault="00A843CC" w:rsidP="0041079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19 664</w:t>
            </w:r>
          </w:p>
        </w:tc>
        <w:tc>
          <w:tcPr>
            <w:tcW w:w="1322" w:type="dxa"/>
          </w:tcPr>
          <w:p w:rsidR="00A843CC" w:rsidRDefault="00A843CC" w:rsidP="0041079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1058515</w:t>
            </w:r>
          </w:p>
        </w:tc>
        <w:tc>
          <w:tcPr>
            <w:tcW w:w="1463" w:type="dxa"/>
          </w:tcPr>
          <w:p w:rsidR="00A843CC" w:rsidRDefault="00A843CC" w:rsidP="0041079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1757,82</w:t>
            </w:r>
          </w:p>
        </w:tc>
        <w:tc>
          <w:tcPr>
            <w:tcW w:w="1463" w:type="dxa"/>
          </w:tcPr>
          <w:p w:rsidR="00A843CC" w:rsidRDefault="00A843CC" w:rsidP="0041079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94623</w:t>
            </w:r>
          </w:p>
        </w:tc>
      </w:tr>
      <w:tr w:rsidR="00A843CC" w:rsidTr="00376DD3">
        <w:tc>
          <w:tcPr>
            <w:tcW w:w="1030" w:type="dxa"/>
          </w:tcPr>
          <w:p w:rsidR="00A843CC" w:rsidRPr="005D1B8A" w:rsidRDefault="00A843CC" w:rsidP="00410798">
            <w:pPr>
              <w:spacing w:line="360" w:lineRule="auto"/>
              <w:jc w:val="both"/>
              <w:rPr>
                <w:rFonts w:ascii="Times New Roman" w:eastAsia="Calibri" w:hAnsi="Times New Roman" w:cs="Times New Roman"/>
                <w:b/>
                <w:sz w:val="24"/>
                <w:szCs w:val="24"/>
              </w:rPr>
            </w:pPr>
            <w:r w:rsidRPr="005D1B8A">
              <w:rPr>
                <w:rFonts w:ascii="Times New Roman" w:eastAsia="Calibri" w:hAnsi="Times New Roman" w:cs="Times New Roman"/>
                <w:b/>
                <w:sz w:val="24"/>
                <w:szCs w:val="24"/>
              </w:rPr>
              <w:t>ЮЗР</w:t>
            </w:r>
          </w:p>
        </w:tc>
        <w:tc>
          <w:tcPr>
            <w:tcW w:w="2049" w:type="dxa"/>
          </w:tcPr>
          <w:p w:rsidR="00A843CC" w:rsidRDefault="00A843CC" w:rsidP="00410798">
            <w:pPr>
              <w:spacing w:line="360" w:lineRule="auto"/>
              <w:jc w:val="both"/>
              <w:rPr>
                <w:rFonts w:ascii="Times New Roman" w:eastAsia="Calibri" w:hAnsi="Times New Roman" w:cs="Times New Roman"/>
                <w:sz w:val="24"/>
                <w:szCs w:val="24"/>
              </w:rPr>
            </w:pPr>
            <w:r w:rsidRPr="000D5B87">
              <w:rPr>
                <w:rFonts w:ascii="Times New Roman" w:eastAsia="Calibri" w:hAnsi="Times New Roman" w:cs="Times New Roman"/>
              </w:rPr>
              <w:t>2 167 918 547</w:t>
            </w:r>
          </w:p>
        </w:tc>
        <w:tc>
          <w:tcPr>
            <w:tcW w:w="1323" w:type="dxa"/>
          </w:tcPr>
          <w:p w:rsidR="00A843CC" w:rsidRDefault="00A843CC" w:rsidP="0041079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20 041</w:t>
            </w:r>
          </w:p>
        </w:tc>
        <w:tc>
          <w:tcPr>
            <w:tcW w:w="1322" w:type="dxa"/>
          </w:tcPr>
          <w:p w:rsidR="00A843CC" w:rsidRDefault="00A843CC" w:rsidP="0041079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2125212</w:t>
            </w:r>
          </w:p>
        </w:tc>
        <w:tc>
          <w:tcPr>
            <w:tcW w:w="1463" w:type="dxa"/>
          </w:tcPr>
          <w:p w:rsidR="00A843CC" w:rsidRDefault="00A843CC" w:rsidP="0041079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1020,10</w:t>
            </w:r>
          </w:p>
        </w:tc>
        <w:tc>
          <w:tcPr>
            <w:tcW w:w="1463" w:type="dxa"/>
          </w:tcPr>
          <w:p w:rsidR="00A843CC" w:rsidRDefault="00A843CC" w:rsidP="0041079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108174</w:t>
            </w:r>
          </w:p>
        </w:tc>
      </w:tr>
      <w:tr w:rsidR="00A843CC" w:rsidTr="00376DD3">
        <w:tc>
          <w:tcPr>
            <w:tcW w:w="1030" w:type="dxa"/>
          </w:tcPr>
          <w:p w:rsidR="00A843CC" w:rsidRPr="005D1B8A" w:rsidRDefault="00A843CC" w:rsidP="00410798">
            <w:pPr>
              <w:spacing w:line="360" w:lineRule="auto"/>
              <w:jc w:val="both"/>
              <w:rPr>
                <w:rFonts w:ascii="Times New Roman" w:eastAsia="Calibri" w:hAnsi="Times New Roman" w:cs="Times New Roman"/>
                <w:b/>
                <w:sz w:val="24"/>
                <w:szCs w:val="24"/>
              </w:rPr>
            </w:pPr>
            <w:r w:rsidRPr="005D1B8A">
              <w:rPr>
                <w:rFonts w:ascii="Times New Roman" w:eastAsia="Calibri" w:hAnsi="Times New Roman" w:cs="Times New Roman"/>
                <w:b/>
                <w:sz w:val="24"/>
                <w:szCs w:val="24"/>
              </w:rPr>
              <w:t>ЮЦР</w:t>
            </w:r>
          </w:p>
        </w:tc>
        <w:tc>
          <w:tcPr>
            <w:tcW w:w="2049" w:type="dxa"/>
          </w:tcPr>
          <w:p w:rsidR="00A843CC" w:rsidRDefault="00A843CC" w:rsidP="00410798">
            <w:pPr>
              <w:spacing w:line="360" w:lineRule="auto"/>
              <w:jc w:val="both"/>
              <w:rPr>
                <w:rFonts w:ascii="Times New Roman" w:eastAsia="Calibri" w:hAnsi="Times New Roman" w:cs="Times New Roman"/>
                <w:sz w:val="24"/>
                <w:szCs w:val="24"/>
              </w:rPr>
            </w:pPr>
            <w:r w:rsidRPr="000D5B87">
              <w:rPr>
                <w:rFonts w:ascii="Times New Roman" w:eastAsia="Calibri" w:hAnsi="Times New Roman" w:cs="Times New Roman"/>
              </w:rPr>
              <w:t>1 783 715 280</w:t>
            </w:r>
          </w:p>
        </w:tc>
        <w:tc>
          <w:tcPr>
            <w:tcW w:w="1323" w:type="dxa"/>
          </w:tcPr>
          <w:p w:rsidR="00A843CC" w:rsidRDefault="00A843CC" w:rsidP="0041079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22 306</w:t>
            </w:r>
          </w:p>
        </w:tc>
        <w:tc>
          <w:tcPr>
            <w:tcW w:w="1322" w:type="dxa"/>
          </w:tcPr>
          <w:p w:rsidR="00A843CC" w:rsidRDefault="00A843CC" w:rsidP="0041079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1549365</w:t>
            </w:r>
          </w:p>
        </w:tc>
        <w:tc>
          <w:tcPr>
            <w:tcW w:w="1463" w:type="dxa"/>
          </w:tcPr>
          <w:p w:rsidR="00A843CC" w:rsidRDefault="00A843CC" w:rsidP="0041079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1151,26</w:t>
            </w:r>
          </w:p>
        </w:tc>
        <w:tc>
          <w:tcPr>
            <w:tcW w:w="1463" w:type="dxa"/>
          </w:tcPr>
          <w:p w:rsidR="00A843CC" w:rsidRDefault="00A843CC" w:rsidP="00410798">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79765</w:t>
            </w:r>
          </w:p>
        </w:tc>
      </w:tr>
      <w:tr w:rsidR="00A843CC" w:rsidRPr="005D1B8A" w:rsidTr="00376DD3">
        <w:tc>
          <w:tcPr>
            <w:tcW w:w="1030" w:type="dxa"/>
          </w:tcPr>
          <w:p w:rsidR="00A843CC" w:rsidRPr="005D1B8A" w:rsidRDefault="00A843CC" w:rsidP="00410798">
            <w:pPr>
              <w:spacing w:line="360" w:lineRule="auto"/>
              <w:jc w:val="both"/>
              <w:rPr>
                <w:rFonts w:ascii="Times New Roman" w:eastAsia="Calibri" w:hAnsi="Times New Roman" w:cs="Times New Roman"/>
                <w:b/>
                <w:sz w:val="24"/>
                <w:szCs w:val="24"/>
              </w:rPr>
            </w:pPr>
            <w:r w:rsidRPr="005D1B8A">
              <w:rPr>
                <w:rFonts w:ascii="Times New Roman" w:eastAsia="Calibri" w:hAnsi="Times New Roman" w:cs="Times New Roman"/>
                <w:b/>
                <w:sz w:val="24"/>
                <w:szCs w:val="24"/>
              </w:rPr>
              <w:t>Общо</w:t>
            </w:r>
          </w:p>
        </w:tc>
        <w:tc>
          <w:tcPr>
            <w:tcW w:w="2049" w:type="dxa"/>
          </w:tcPr>
          <w:p w:rsidR="00A843CC" w:rsidRPr="005D1B8A" w:rsidRDefault="00A843CC" w:rsidP="00410798">
            <w:pPr>
              <w:spacing w:line="360" w:lineRule="auto"/>
              <w:jc w:val="both"/>
              <w:rPr>
                <w:rFonts w:ascii="Times New Roman" w:eastAsia="Calibri" w:hAnsi="Times New Roman" w:cs="Times New Roman"/>
                <w:b/>
                <w:sz w:val="24"/>
                <w:szCs w:val="24"/>
              </w:rPr>
            </w:pPr>
            <w:r w:rsidRPr="005D1B8A">
              <w:rPr>
                <w:rFonts w:ascii="Times New Roman" w:eastAsia="Calibri" w:hAnsi="Times New Roman" w:cs="Times New Roman"/>
                <w:b/>
              </w:rPr>
              <w:t>8 363 376 963</w:t>
            </w:r>
          </w:p>
        </w:tc>
        <w:tc>
          <w:tcPr>
            <w:tcW w:w="1323" w:type="dxa"/>
          </w:tcPr>
          <w:p w:rsidR="00A843CC" w:rsidRPr="005D1B8A" w:rsidRDefault="00A843CC" w:rsidP="00410798">
            <w:pPr>
              <w:spacing w:line="360" w:lineRule="auto"/>
              <w:jc w:val="both"/>
              <w:rPr>
                <w:rFonts w:ascii="Times New Roman" w:eastAsia="Calibri" w:hAnsi="Times New Roman" w:cs="Times New Roman"/>
                <w:b/>
                <w:sz w:val="24"/>
                <w:szCs w:val="24"/>
              </w:rPr>
            </w:pPr>
            <w:r w:rsidRPr="005D1B8A">
              <w:rPr>
                <w:rFonts w:ascii="Times New Roman" w:eastAsia="Calibri" w:hAnsi="Times New Roman" w:cs="Times New Roman"/>
                <w:b/>
                <w:sz w:val="24"/>
                <w:szCs w:val="24"/>
              </w:rPr>
              <w:t>110 371</w:t>
            </w:r>
          </w:p>
        </w:tc>
        <w:tc>
          <w:tcPr>
            <w:tcW w:w="1322" w:type="dxa"/>
          </w:tcPr>
          <w:p w:rsidR="00A843CC" w:rsidRPr="005D1B8A" w:rsidRDefault="00A843CC" w:rsidP="00410798">
            <w:pPr>
              <w:spacing w:line="360" w:lineRule="auto"/>
              <w:jc w:val="both"/>
              <w:rPr>
                <w:rFonts w:ascii="Times New Roman" w:eastAsia="Calibri" w:hAnsi="Times New Roman" w:cs="Times New Roman"/>
                <w:b/>
                <w:sz w:val="24"/>
                <w:szCs w:val="24"/>
              </w:rPr>
            </w:pPr>
            <w:r w:rsidRPr="005D1B8A">
              <w:rPr>
                <w:rFonts w:ascii="Times New Roman" w:eastAsia="Calibri" w:hAnsi="Times New Roman" w:cs="Times New Roman"/>
                <w:b/>
                <w:sz w:val="24"/>
                <w:szCs w:val="24"/>
              </w:rPr>
              <w:t>7 202 198</w:t>
            </w:r>
          </w:p>
        </w:tc>
        <w:tc>
          <w:tcPr>
            <w:tcW w:w="1463" w:type="dxa"/>
          </w:tcPr>
          <w:p w:rsidR="00A843CC" w:rsidRPr="005D1B8A" w:rsidRDefault="00A843CC" w:rsidP="00410798">
            <w:pPr>
              <w:spacing w:line="360" w:lineRule="auto"/>
              <w:jc w:val="both"/>
              <w:rPr>
                <w:rFonts w:ascii="Times New Roman" w:eastAsia="Calibri" w:hAnsi="Times New Roman" w:cs="Times New Roman"/>
                <w:b/>
                <w:sz w:val="24"/>
                <w:szCs w:val="24"/>
              </w:rPr>
            </w:pPr>
            <w:r w:rsidRPr="005D1B8A">
              <w:rPr>
                <w:rFonts w:ascii="Times New Roman" w:eastAsia="Calibri" w:hAnsi="Times New Roman" w:cs="Times New Roman"/>
                <w:b/>
                <w:sz w:val="24"/>
                <w:szCs w:val="24"/>
              </w:rPr>
              <w:t>1161,22</w:t>
            </w:r>
          </w:p>
        </w:tc>
        <w:tc>
          <w:tcPr>
            <w:tcW w:w="1463" w:type="dxa"/>
          </w:tcPr>
          <w:p w:rsidR="00A843CC" w:rsidRPr="005D1B8A" w:rsidRDefault="00A843CC" w:rsidP="00410798">
            <w:pPr>
              <w:spacing w:line="360" w:lineRule="auto"/>
              <w:jc w:val="both"/>
              <w:rPr>
                <w:rFonts w:ascii="Times New Roman" w:eastAsia="Calibri" w:hAnsi="Times New Roman" w:cs="Times New Roman"/>
                <w:b/>
                <w:sz w:val="24"/>
                <w:szCs w:val="24"/>
              </w:rPr>
            </w:pPr>
            <w:r w:rsidRPr="005D1B8A">
              <w:rPr>
                <w:rFonts w:ascii="Times New Roman" w:eastAsia="Calibri" w:hAnsi="Times New Roman" w:cs="Times New Roman"/>
                <w:b/>
                <w:sz w:val="24"/>
                <w:szCs w:val="24"/>
              </w:rPr>
              <w:t>75775</w:t>
            </w:r>
          </w:p>
        </w:tc>
      </w:tr>
    </w:tbl>
    <w:p w:rsidR="00A843CC" w:rsidRDefault="00A843CC" w:rsidP="00410798">
      <w:pPr>
        <w:spacing w:after="0" w:line="360" w:lineRule="auto"/>
        <w:jc w:val="both"/>
        <w:rPr>
          <w:rFonts w:ascii="Times New Roman" w:eastAsia="Calibri" w:hAnsi="Times New Roman" w:cs="Times New Roman"/>
          <w:sz w:val="24"/>
          <w:szCs w:val="24"/>
        </w:rPr>
      </w:pPr>
    </w:p>
    <w:p w:rsidR="00A843CC" w:rsidRDefault="00A843CC" w:rsidP="00410798">
      <w:pPr>
        <w:spacing w:after="0" w:line="360" w:lineRule="auto"/>
        <w:ind w:firstLine="709"/>
        <w:jc w:val="both"/>
        <w:rPr>
          <w:rFonts w:ascii="Times New Roman" w:eastAsia="Calibri" w:hAnsi="Times New Roman" w:cs="Times New Roman"/>
          <w:sz w:val="24"/>
          <w:szCs w:val="24"/>
        </w:rPr>
      </w:pPr>
      <w:r w:rsidRPr="000D5B87">
        <w:rPr>
          <w:rFonts w:ascii="Times New Roman" w:eastAsia="Calibri" w:hAnsi="Times New Roman" w:cs="Times New Roman"/>
          <w:sz w:val="24"/>
          <w:szCs w:val="24"/>
        </w:rPr>
        <w:t>Като ефект от оползотворените средства от европейските фондове се наблюдава развитие на районите в сравнение с 2005 г., въпреки че значимите социално-икономически различия между тях все още не са преодолени.</w:t>
      </w:r>
    </w:p>
    <w:p w:rsidR="00A843CC" w:rsidRDefault="00A843CC" w:rsidP="00410798">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Разглеждайки индикатора усвоени ресурси от фондовете на ЕС на човек в районите от ниво 2 се констатира, че с най ниско ниво е Северозападния район, съответстващо на 81 % от средното за страната. Усвоените инвестиции по райони от ниво 2, отнесени към 1 кв. км от територията отново показват най-ниско ниво - 52% от средното за страната в Северозападния район. Резултатите показват, че Северозападния район се нуждае от повече инвестиции за преодоляване на икономическото си изоставане. Постигнатото разпределение на помощта от европейските фондове, определена на база на усвоените средства към 2015 г., показва значително по-високи нива на усвоената помощ в районите в южната половина на страната. На тази основа различията между северните и южните райони от ниво 2 са продължили да  нарастват, вместо да  намаляват.</w:t>
      </w:r>
    </w:p>
    <w:p w:rsidR="00A843CC" w:rsidRPr="000D5B87" w:rsidRDefault="00A843CC" w:rsidP="00410798">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Необходимо е да се търси по-добра териториална координация при разходването на средствата от оперативните програми, както и по-голяма интегрираност и взаимодействие на проектите с цел постигане на по-значими въздействия върху развитието на районите.</w:t>
      </w:r>
    </w:p>
    <w:p w:rsidR="00361411" w:rsidRDefault="00361411" w:rsidP="00361411">
      <w:pPr>
        <w:spacing w:after="120" w:line="360" w:lineRule="auto"/>
        <w:ind w:firstLine="708"/>
        <w:jc w:val="both"/>
        <w:rPr>
          <w:rFonts w:ascii="Times New Roman" w:eastAsia="Calibri" w:hAnsi="Times New Roman" w:cs="Times New Roman"/>
          <w:b/>
          <w:sz w:val="24"/>
          <w:szCs w:val="24"/>
        </w:rPr>
      </w:pPr>
    </w:p>
    <w:p w:rsidR="00DD5593" w:rsidRPr="007A0407" w:rsidRDefault="007A0407" w:rsidP="0025387F">
      <w:pPr>
        <w:pStyle w:val="Heading1"/>
        <w:numPr>
          <w:ilvl w:val="0"/>
          <w:numId w:val="4"/>
        </w:numPr>
        <w:jc w:val="both"/>
        <w:rPr>
          <w:rFonts w:eastAsia="Times New Roman" w:cs="Times New Roman"/>
          <w:lang w:eastAsia="bg-BG"/>
        </w:rPr>
      </w:pPr>
      <w:bookmarkStart w:id="7" w:name="_Toc478043747"/>
      <w:r w:rsidRPr="007A0407">
        <w:rPr>
          <w:rFonts w:eastAsia="Times New Roman"/>
          <w:lang w:eastAsia="bg-BG"/>
        </w:rPr>
        <w:t>ИЗВОДИ И ПРЕДЛОЖЕНИЯ ЗА ИЗПЪЛНЕНИЕТО НА ДЪЛГОСРОЧНИТЕ ЦЕЛИ И ПРИОРИТЕТИ НА ДЪРЖАВНАТА ПОЛИТИКА ЗА РЕГИОНАЛНО РАЗВИТИЕ, ВКЛЮЧИТЕЛНО ЗА АКТУАЛИЗАЦИЯ НА НАЦИОНАЛНАТА СТРАТЕГИЯ ЗА РЕГИОНАЛНО РАЗВИТИЕ</w:t>
      </w:r>
      <w:bookmarkEnd w:id="7"/>
      <w:r w:rsidR="00445300" w:rsidRPr="007A0407">
        <w:tab/>
      </w:r>
    </w:p>
    <w:p w:rsidR="000B42BF" w:rsidRPr="000B42BF" w:rsidRDefault="000B42BF" w:rsidP="000B42BF"/>
    <w:p w:rsidR="00BB6EA6" w:rsidRPr="00655847" w:rsidRDefault="007A0407" w:rsidP="0025387F">
      <w:pPr>
        <w:pStyle w:val="ListParagraph"/>
        <w:numPr>
          <w:ilvl w:val="1"/>
          <w:numId w:val="4"/>
        </w:numPr>
        <w:rPr>
          <w:rFonts w:ascii="Times New Roman" w:hAnsi="Times New Roman" w:cs="Times New Roman"/>
          <w:b/>
          <w:sz w:val="24"/>
          <w:szCs w:val="24"/>
        </w:rPr>
      </w:pPr>
      <w:r w:rsidRPr="000B42BF">
        <w:rPr>
          <w:rFonts w:ascii="Times New Roman" w:hAnsi="Times New Roman" w:cs="Times New Roman"/>
          <w:b/>
          <w:sz w:val="24"/>
          <w:szCs w:val="24"/>
        </w:rPr>
        <w:t>Изводи</w:t>
      </w:r>
    </w:p>
    <w:p w:rsidR="00D5393B" w:rsidRPr="00D5393B" w:rsidRDefault="00D5393B" w:rsidP="0025387F">
      <w:pPr>
        <w:numPr>
          <w:ilvl w:val="0"/>
          <w:numId w:val="6"/>
        </w:numPr>
        <w:tabs>
          <w:tab w:val="left" w:pos="709"/>
        </w:tabs>
        <w:spacing w:after="0" w:line="360" w:lineRule="auto"/>
        <w:jc w:val="both"/>
        <w:rPr>
          <w:rFonts w:ascii="Times New Roman" w:eastAsia="Calibri" w:hAnsi="Times New Roman" w:cs="Times New Roman"/>
          <w:sz w:val="24"/>
          <w:szCs w:val="24"/>
          <w:lang w:eastAsia="bg-BG"/>
        </w:rPr>
      </w:pPr>
      <w:r w:rsidRPr="00D5393B">
        <w:rPr>
          <w:rFonts w:ascii="Times New Roman" w:eastAsia="Calibri" w:hAnsi="Times New Roman" w:cs="Times New Roman"/>
          <w:sz w:val="24"/>
          <w:szCs w:val="24"/>
          <w:lang w:eastAsia="bg-BG"/>
        </w:rPr>
        <w:t xml:space="preserve">Започналата през 2009 г. негативна тенденция в макроикономическата ситуация в страната, променя своя намаляващ тренд през 2014 г., когато ключовите показатели за всички райони бележат увеличение. </w:t>
      </w:r>
    </w:p>
    <w:p w:rsidR="00D5393B" w:rsidRPr="00D5393B" w:rsidRDefault="00D5393B" w:rsidP="0025387F">
      <w:pPr>
        <w:numPr>
          <w:ilvl w:val="0"/>
          <w:numId w:val="6"/>
        </w:numPr>
        <w:tabs>
          <w:tab w:val="left" w:pos="709"/>
        </w:tabs>
        <w:spacing w:after="0" w:line="360" w:lineRule="auto"/>
        <w:jc w:val="both"/>
        <w:rPr>
          <w:rFonts w:ascii="Times New Roman" w:eastAsia="Calibri" w:hAnsi="Times New Roman" w:cs="Times New Roman"/>
          <w:sz w:val="24"/>
          <w:szCs w:val="24"/>
          <w:lang w:eastAsia="bg-BG"/>
        </w:rPr>
      </w:pPr>
      <w:r w:rsidRPr="00D5393B">
        <w:rPr>
          <w:rFonts w:ascii="Times New Roman" w:eastAsia="Calibri" w:hAnsi="Times New Roman" w:cs="Times New Roman"/>
          <w:iCs/>
          <w:sz w:val="24"/>
          <w:szCs w:val="24"/>
          <w:lang w:eastAsia="bg-BG"/>
        </w:rPr>
        <w:t xml:space="preserve">По отношение достигането на определено съотношение на БВП на глава от населението в България спрямо средното ниво за регионите в ЕС 28, ЮЗР е единственият район в България, достигнал целевата стойност от 75%. Останалите райони изостават по този показател, като СЗР е с най-ниския </w:t>
      </w:r>
      <w:r w:rsidRPr="00D5393B">
        <w:rPr>
          <w:rFonts w:ascii="Times New Roman" w:eastAsia="Calibri" w:hAnsi="Times New Roman" w:cs="Times New Roman"/>
          <w:iCs/>
          <w:sz w:val="24"/>
          <w:szCs w:val="24"/>
          <w:lang w:eastAsia="bg-BG"/>
        </w:rPr>
        <w:lastRenderedPageBreak/>
        <w:t>отчетен БВП на човек от населението – 30 % от средния за EС</w:t>
      </w:r>
      <w:r w:rsidRPr="00D5393B">
        <w:rPr>
          <w:rFonts w:ascii="MS Mincho" w:eastAsia="MS Mincho" w:hAnsi="MS Mincho" w:cs="MS Mincho" w:hint="eastAsia"/>
          <w:iCs/>
          <w:sz w:val="24"/>
          <w:szCs w:val="24"/>
          <w:lang w:eastAsia="bg-BG"/>
        </w:rPr>
        <w:t>‑</w:t>
      </w:r>
      <w:r w:rsidRPr="00D5393B">
        <w:rPr>
          <w:rFonts w:ascii="Times New Roman" w:eastAsia="Calibri" w:hAnsi="Times New Roman" w:cs="Times New Roman"/>
          <w:iCs/>
          <w:sz w:val="24"/>
          <w:szCs w:val="24"/>
          <w:lang w:eastAsia="bg-BG"/>
        </w:rPr>
        <w:t xml:space="preserve">28 (при целева стойност 45%). </w:t>
      </w:r>
    </w:p>
    <w:p w:rsidR="00D5393B" w:rsidRPr="00D5393B" w:rsidRDefault="00D5393B" w:rsidP="0025387F">
      <w:pPr>
        <w:numPr>
          <w:ilvl w:val="0"/>
          <w:numId w:val="6"/>
        </w:numPr>
        <w:tabs>
          <w:tab w:val="left" w:pos="709"/>
        </w:tabs>
        <w:spacing w:after="0" w:line="360" w:lineRule="auto"/>
        <w:jc w:val="both"/>
        <w:rPr>
          <w:rFonts w:ascii="Times New Roman" w:eastAsia="Calibri" w:hAnsi="Times New Roman" w:cs="Times New Roman"/>
          <w:sz w:val="24"/>
          <w:szCs w:val="24"/>
          <w:lang w:eastAsia="bg-BG"/>
        </w:rPr>
      </w:pPr>
      <w:r w:rsidRPr="00D5393B">
        <w:rPr>
          <w:rFonts w:ascii="Times New Roman" w:eastAsia="Calibri" w:hAnsi="Times New Roman" w:cs="Times New Roman"/>
          <w:iCs/>
          <w:sz w:val="24"/>
          <w:szCs w:val="24"/>
          <w:lang w:eastAsia="bg-BG"/>
        </w:rPr>
        <w:t xml:space="preserve">В периода 2005-2015 г. се наблюдават положителни тенденции при увеличение на </w:t>
      </w:r>
      <w:r w:rsidRPr="00D5393B">
        <w:rPr>
          <w:rFonts w:ascii="Times New Roman" w:eastAsia="Calibri" w:hAnsi="Times New Roman" w:cs="Times New Roman"/>
          <w:b/>
          <w:iCs/>
          <w:sz w:val="24"/>
          <w:szCs w:val="24"/>
          <w:lang w:eastAsia="bg-BG"/>
        </w:rPr>
        <w:t>заетостта</w:t>
      </w:r>
      <w:r w:rsidRPr="00D5393B">
        <w:rPr>
          <w:rFonts w:ascii="Times New Roman" w:eastAsia="Calibri" w:hAnsi="Times New Roman" w:cs="Times New Roman"/>
          <w:iCs/>
          <w:sz w:val="24"/>
          <w:szCs w:val="24"/>
          <w:lang w:eastAsia="bg-BG"/>
        </w:rPr>
        <w:t xml:space="preserve"> във всички райони от ниво 2.</w:t>
      </w:r>
      <w:r w:rsidRPr="00D5393B">
        <w:rPr>
          <w:rFonts w:ascii="Times New Roman" w:eastAsia="Calibri" w:hAnsi="Times New Roman" w:cs="Times New Roman"/>
          <w:iCs/>
          <w:sz w:val="24"/>
          <w:szCs w:val="24"/>
          <w:lang w:val="en-US" w:eastAsia="bg-BG"/>
        </w:rPr>
        <w:t xml:space="preserve"> </w:t>
      </w:r>
      <w:r w:rsidRPr="00D5393B">
        <w:rPr>
          <w:rFonts w:ascii="Times New Roman" w:eastAsia="Calibri" w:hAnsi="Times New Roman" w:cs="Times New Roman"/>
          <w:iCs/>
          <w:sz w:val="24"/>
          <w:szCs w:val="24"/>
          <w:lang w:eastAsia="bg-BG"/>
        </w:rPr>
        <w:t>С най-голямо нарастване на заетостта, спрямо 2005 г. са  Северен централен район /+6,6%/, Южен централен район/+5,5%/, Североизточен район/5,4%. С най-висок коефициент на заетост на населението 20-64 г. към 2015 г. са Югозападния и Североизточния район, съответно 72,2% и 67,2%, а с най-нисък Северозападния район 60,1%. Констатира се намаление и на коефициента на безработица, който варира от 6,7% в Югозападен район до 12,1% в Северозападен район, при среден за страната 9,2%. Влиянието на икономическата и финансова криза е преодоляно, стойностите са възстановени до нива преди кризата и се движат в положителна посока.</w:t>
      </w:r>
    </w:p>
    <w:p w:rsidR="00D5393B" w:rsidRPr="00D5393B" w:rsidRDefault="00D5393B" w:rsidP="0025387F">
      <w:pPr>
        <w:numPr>
          <w:ilvl w:val="0"/>
          <w:numId w:val="6"/>
        </w:numPr>
        <w:tabs>
          <w:tab w:val="left" w:pos="709"/>
        </w:tabs>
        <w:spacing w:after="0" w:line="360" w:lineRule="auto"/>
        <w:jc w:val="both"/>
        <w:rPr>
          <w:rFonts w:ascii="Times New Roman" w:eastAsia="Calibri" w:hAnsi="Times New Roman" w:cs="Times New Roman"/>
          <w:sz w:val="24"/>
          <w:szCs w:val="24"/>
          <w:lang w:eastAsia="bg-BG"/>
        </w:rPr>
      </w:pPr>
      <w:r w:rsidRPr="00D5393B">
        <w:rPr>
          <w:rFonts w:ascii="Times New Roman" w:eastAsia="Calibri" w:hAnsi="Times New Roman" w:cs="Times New Roman"/>
          <w:iCs/>
          <w:sz w:val="24"/>
          <w:szCs w:val="24"/>
          <w:lang w:eastAsia="bg-BG"/>
        </w:rPr>
        <w:t>За постигане на националната цел по отношение  нивото на заетост (76% заетост сред населението на възраст 20-64 г. до 2020 г., в изпълнение на Стратегия „Европа 2020”) е необходимо да се прилагат разнообразни форми за насърчаване на гъвкава заетост на работната сила, насърчаване на териториалната мобилност, прилагане на стимулиращи форми за работа на непълен работен ден, продължаващо образование и повишаване на квалификацията на работното място и др.</w:t>
      </w:r>
    </w:p>
    <w:p w:rsidR="00D5393B" w:rsidRPr="00D5393B" w:rsidRDefault="00D5393B" w:rsidP="0025387F">
      <w:pPr>
        <w:numPr>
          <w:ilvl w:val="0"/>
          <w:numId w:val="6"/>
        </w:numPr>
        <w:tabs>
          <w:tab w:val="left" w:pos="709"/>
        </w:tabs>
        <w:spacing w:after="0" w:line="360" w:lineRule="auto"/>
        <w:jc w:val="both"/>
        <w:rPr>
          <w:rFonts w:ascii="Times New Roman" w:eastAsia="Calibri" w:hAnsi="Times New Roman" w:cs="Times New Roman"/>
          <w:iCs/>
          <w:sz w:val="24"/>
          <w:szCs w:val="24"/>
          <w:lang w:eastAsia="bg-BG"/>
        </w:rPr>
      </w:pPr>
      <w:r w:rsidRPr="00D5393B">
        <w:rPr>
          <w:rFonts w:ascii="Times New Roman" w:eastAsia="Calibri" w:hAnsi="Times New Roman" w:cs="Times New Roman"/>
          <w:iCs/>
          <w:sz w:val="24"/>
          <w:szCs w:val="24"/>
          <w:lang w:eastAsia="bg-BG"/>
        </w:rPr>
        <w:t xml:space="preserve">В </w:t>
      </w:r>
      <w:r w:rsidRPr="00D5393B">
        <w:rPr>
          <w:rFonts w:ascii="Times New Roman" w:eastAsia="Calibri" w:hAnsi="Times New Roman" w:cs="Times New Roman"/>
          <w:b/>
          <w:iCs/>
          <w:sz w:val="24"/>
          <w:szCs w:val="24"/>
          <w:lang w:eastAsia="bg-BG"/>
        </w:rPr>
        <w:t>демографски план,</w:t>
      </w:r>
      <w:r w:rsidRPr="00D5393B">
        <w:rPr>
          <w:rFonts w:ascii="Times New Roman" w:eastAsia="Calibri" w:hAnsi="Times New Roman" w:cs="Times New Roman"/>
          <w:iCs/>
          <w:sz w:val="24"/>
          <w:szCs w:val="24"/>
          <w:lang w:eastAsia="bg-BG"/>
        </w:rPr>
        <w:t xml:space="preserve"> застаряването на населението е естествен процес в съвременните условия на развитие, който е характерен за много от регионите в ЕС, в т.ч. и българските. Към 2015 г. по данни на НСИ отношението на населението на възраст под 15 г. и над 64 г. е най-нисък в Югозападен район- 47,6% и най-висок в СЗР-62,7%, СЦР 55,1% и ЮИР- 54,6%. Областите характеризиращи се с най-висока степен на застаряване на населението  са  Видин</w:t>
      </w:r>
      <w:r w:rsidRPr="00D5393B">
        <w:rPr>
          <w:rFonts w:ascii="Times New Roman" w:eastAsia="Calibri" w:hAnsi="Times New Roman" w:cs="Times New Roman"/>
          <w:iCs/>
          <w:sz w:val="24"/>
          <w:szCs w:val="24"/>
          <w:lang w:val="en-US" w:eastAsia="bg-BG"/>
        </w:rPr>
        <w:t>(</w:t>
      </w:r>
      <w:r w:rsidRPr="00D5393B">
        <w:rPr>
          <w:rFonts w:ascii="Times New Roman" w:eastAsia="Calibri" w:hAnsi="Times New Roman" w:cs="Times New Roman"/>
          <w:iCs/>
          <w:sz w:val="24"/>
          <w:szCs w:val="24"/>
          <w:lang w:eastAsia="bg-BG"/>
        </w:rPr>
        <w:t>68,1%</w:t>
      </w:r>
      <w:r w:rsidRPr="00D5393B">
        <w:rPr>
          <w:rFonts w:ascii="Times New Roman" w:eastAsia="Calibri" w:hAnsi="Times New Roman" w:cs="Times New Roman"/>
          <w:iCs/>
          <w:sz w:val="24"/>
          <w:szCs w:val="24"/>
          <w:lang w:val="en-US" w:eastAsia="bg-BG"/>
        </w:rPr>
        <w:t>)</w:t>
      </w:r>
      <w:r w:rsidRPr="00D5393B">
        <w:rPr>
          <w:rFonts w:ascii="Times New Roman" w:eastAsia="Calibri" w:hAnsi="Times New Roman" w:cs="Times New Roman"/>
          <w:iCs/>
          <w:sz w:val="24"/>
          <w:szCs w:val="24"/>
          <w:lang w:eastAsia="bg-BG"/>
        </w:rPr>
        <w:t>,  Ловеч</w:t>
      </w:r>
      <w:r w:rsidRPr="00D5393B">
        <w:rPr>
          <w:rFonts w:ascii="Times New Roman" w:eastAsia="Calibri" w:hAnsi="Times New Roman" w:cs="Times New Roman"/>
          <w:iCs/>
          <w:sz w:val="24"/>
          <w:szCs w:val="24"/>
          <w:lang w:val="en-US" w:eastAsia="bg-BG"/>
        </w:rPr>
        <w:t>(</w:t>
      </w:r>
      <w:r w:rsidRPr="00D5393B">
        <w:rPr>
          <w:rFonts w:ascii="Times New Roman" w:eastAsia="Calibri" w:hAnsi="Times New Roman" w:cs="Times New Roman"/>
          <w:iCs/>
          <w:sz w:val="24"/>
          <w:szCs w:val="24"/>
          <w:lang w:eastAsia="bg-BG"/>
        </w:rPr>
        <w:t>64%</w:t>
      </w:r>
      <w:r w:rsidRPr="00D5393B">
        <w:rPr>
          <w:rFonts w:ascii="Times New Roman" w:eastAsia="Calibri" w:hAnsi="Times New Roman" w:cs="Times New Roman"/>
          <w:iCs/>
          <w:sz w:val="24"/>
          <w:szCs w:val="24"/>
          <w:lang w:val="en-US" w:eastAsia="bg-BG"/>
        </w:rPr>
        <w:t>)</w:t>
      </w:r>
      <w:r w:rsidRPr="00D5393B">
        <w:rPr>
          <w:rFonts w:ascii="Times New Roman" w:eastAsia="Calibri" w:hAnsi="Times New Roman" w:cs="Times New Roman"/>
          <w:iCs/>
          <w:sz w:val="24"/>
          <w:szCs w:val="24"/>
          <w:lang w:eastAsia="bg-BG"/>
        </w:rPr>
        <w:t xml:space="preserve">,  Монтана </w:t>
      </w:r>
      <w:r w:rsidRPr="00D5393B">
        <w:rPr>
          <w:rFonts w:ascii="Times New Roman" w:eastAsia="Calibri" w:hAnsi="Times New Roman" w:cs="Times New Roman"/>
          <w:iCs/>
          <w:sz w:val="24"/>
          <w:szCs w:val="24"/>
          <w:lang w:val="en-US" w:eastAsia="bg-BG"/>
        </w:rPr>
        <w:t>(</w:t>
      </w:r>
      <w:r w:rsidRPr="00D5393B">
        <w:rPr>
          <w:rFonts w:ascii="Times New Roman" w:eastAsia="Calibri" w:hAnsi="Times New Roman" w:cs="Times New Roman"/>
          <w:iCs/>
          <w:sz w:val="24"/>
          <w:szCs w:val="24"/>
          <w:lang w:eastAsia="bg-BG"/>
        </w:rPr>
        <w:t>63,5%</w:t>
      </w:r>
      <w:r w:rsidRPr="00D5393B">
        <w:rPr>
          <w:rFonts w:ascii="Times New Roman" w:eastAsia="Calibri" w:hAnsi="Times New Roman" w:cs="Times New Roman"/>
          <w:iCs/>
          <w:sz w:val="24"/>
          <w:szCs w:val="24"/>
          <w:lang w:val="en-US" w:eastAsia="bg-BG"/>
        </w:rPr>
        <w:t>)</w:t>
      </w:r>
      <w:r w:rsidRPr="00D5393B">
        <w:rPr>
          <w:rFonts w:ascii="Times New Roman" w:eastAsia="Calibri" w:hAnsi="Times New Roman" w:cs="Times New Roman"/>
          <w:iCs/>
          <w:sz w:val="24"/>
          <w:szCs w:val="24"/>
          <w:lang w:eastAsia="bg-BG"/>
        </w:rPr>
        <w:t xml:space="preserve">, Габрово </w:t>
      </w:r>
      <w:r w:rsidRPr="00D5393B">
        <w:rPr>
          <w:rFonts w:ascii="Times New Roman" w:eastAsia="Calibri" w:hAnsi="Times New Roman" w:cs="Times New Roman"/>
          <w:iCs/>
          <w:sz w:val="24"/>
          <w:szCs w:val="24"/>
          <w:lang w:val="en-US" w:eastAsia="bg-BG"/>
        </w:rPr>
        <w:t>(</w:t>
      </w:r>
      <w:r w:rsidRPr="00D5393B">
        <w:rPr>
          <w:rFonts w:ascii="Times New Roman" w:eastAsia="Calibri" w:hAnsi="Times New Roman" w:cs="Times New Roman"/>
          <w:iCs/>
          <w:sz w:val="24"/>
          <w:szCs w:val="24"/>
          <w:lang w:eastAsia="bg-BG"/>
        </w:rPr>
        <w:t>63,4%</w:t>
      </w:r>
      <w:r w:rsidRPr="00D5393B">
        <w:rPr>
          <w:rFonts w:ascii="Times New Roman" w:eastAsia="Calibri" w:hAnsi="Times New Roman" w:cs="Times New Roman"/>
          <w:iCs/>
          <w:sz w:val="24"/>
          <w:szCs w:val="24"/>
          <w:lang w:val="en-US" w:eastAsia="bg-BG"/>
        </w:rPr>
        <w:t>)</w:t>
      </w:r>
      <w:r w:rsidRPr="00D5393B">
        <w:rPr>
          <w:rFonts w:ascii="Times New Roman" w:eastAsia="Calibri" w:hAnsi="Times New Roman" w:cs="Times New Roman"/>
          <w:iCs/>
          <w:sz w:val="24"/>
          <w:szCs w:val="24"/>
          <w:lang w:eastAsia="bg-BG"/>
        </w:rPr>
        <w:t>, Плевен</w:t>
      </w:r>
      <w:r w:rsidRPr="00D5393B">
        <w:rPr>
          <w:rFonts w:ascii="Times New Roman" w:eastAsia="Calibri" w:hAnsi="Times New Roman" w:cs="Times New Roman"/>
          <w:iCs/>
          <w:sz w:val="24"/>
          <w:szCs w:val="24"/>
          <w:lang w:val="en-US" w:eastAsia="bg-BG"/>
        </w:rPr>
        <w:t>(</w:t>
      </w:r>
      <w:r w:rsidRPr="00D5393B">
        <w:rPr>
          <w:rFonts w:ascii="Times New Roman" w:eastAsia="Calibri" w:hAnsi="Times New Roman" w:cs="Times New Roman"/>
          <w:iCs/>
          <w:sz w:val="24"/>
          <w:szCs w:val="24"/>
          <w:lang w:eastAsia="bg-BG"/>
        </w:rPr>
        <w:t>62,7%</w:t>
      </w:r>
      <w:r w:rsidRPr="00D5393B">
        <w:rPr>
          <w:rFonts w:ascii="Times New Roman" w:eastAsia="Calibri" w:hAnsi="Times New Roman" w:cs="Times New Roman"/>
          <w:iCs/>
          <w:sz w:val="24"/>
          <w:szCs w:val="24"/>
          <w:lang w:val="en-US" w:eastAsia="bg-BG"/>
        </w:rPr>
        <w:t>)</w:t>
      </w:r>
      <w:r w:rsidRPr="00D5393B">
        <w:rPr>
          <w:rFonts w:ascii="Times New Roman" w:eastAsia="Calibri" w:hAnsi="Times New Roman" w:cs="Times New Roman"/>
          <w:iCs/>
          <w:sz w:val="24"/>
          <w:szCs w:val="24"/>
          <w:lang w:eastAsia="bg-BG"/>
        </w:rPr>
        <w:t xml:space="preserve"> и Кюстендил</w:t>
      </w:r>
      <w:r w:rsidRPr="00D5393B">
        <w:rPr>
          <w:rFonts w:ascii="Times New Roman" w:eastAsia="Calibri" w:hAnsi="Times New Roman" w:cs="Times New Roman"/>
          <w:iCs/>
          <w:sz w:val="24"/>
          <w:szCs w:val="24"/>
          <w:lang w:val="en-US" w:eastAsia="bg-BG"/>
        </w:rPr>
        <w:t>(</w:t>
      </w:r>
      <w:r w:rsidRPr="00D5393B">
        <w:rPr>
          <w:rFonts w:ascii="Times New Roman" w:eastAsia="Calibri" w:hAnsi="Times New Roman" w:cs="Times New Roman"/>
          <w:iCs/>
          <w:sz w:val="24"/>
          <w:szCs w:val="24"/>
          <w:lang w:eastAsia="bg-BG"/>
        </w:rPr>
        <w:t>60,7%</w:t>
      </w:r>
      <w:r w:rsidRPr="00D5393B">
        <w:rPr>
          <w:rFonts w:ascii="Times New Roman" w:eastAsia="Calibri" w:hAnsi="Times New Roman" w:cs="Times New Roman"/>
          <w:iCs/>
          <w:sz w:val="24"/>
          <w:szCs w:val="24"/>
          <w:lang w:val="en-US" w:eastAsia="bg-BG"/>
        </w:rPr>
        <w:t>)</w:t>
      </w:r>
      <w:r w:rsidRPr="00D5393B">
        <w:rPr>
          <w:rFonts w:ascii="Times New Roman" w:eastAsia="Calibri" w:hAnsi="Times New Roman" w:cs="Times New Roman"/>
          <w:iCs/>
          <w:sz w:val="24"/>
          <w:szCs w:val="24"/>
          <w:lang w:eastAsia="bg-BG"/>
        </w:rPr>
        <w:t xml:space="preserve">. Делът на населението на  възраст 15-25 г. в периода 2005-2016 г. намалява от 13,4% на 9,6%, при данни за ЕС-28 за същия период 12,8%- 11,1%. Делът на населението в трудоспособна възраст остава  постоянен в рамките на периода 2005-2016 г., но се наблюдава нарастване на  делът на населението на възраст 65 до 79 г. от 14,2% на 15,8%. Данните за ЕС-28 за същия период са 12,6 -13,8%. Това налага прилагането на интегрирана политика за пълноценно използване на наличните човешки ресурси и целенасочено </w:t>
      </w:r>
      <w:r w:rsidRPr="00D5393B">
        <w:rPr>
          <w:rFonts w:ascii="Times New Roman" w:eastAsia="Calibri" w:hAnsi="Times New Roman" w:cs="Times New Roman"/>
          <w:iCs/>
          <w:sz w:val="24"/>
          <w:szCs w:val="24"/>
          <w:lang w:eastAsia="bg-BG"/>
        </w:rPr>
        <w:lastRenderedPageBreak/>
        <w:t xml:space="preserve">инвестиране в развитие и повишаване на качеството на човешкия капитал в българските райони. </w:t>
      </w:r>
    </w:p>
    <w:p w:rsidR="00D5393B" w:rsidRPr="00D5393B" w:rsidRDefault="00D5393B" w:rsidP="0025387F">
      <w:pPr>
        <w:numPr>
          <w:ilvl w:val="0"/>
          <w:numId w:val="6"/>
        </w:numPr>
        <w:tabs>
          <w:tab w:val="left" w:pos="709"/>
        </w:tabs>
        <w:spacing w:after="0" w:line="360" w:lineRule="auto"/>
        <w:jc w:val="both"/>
        <w:rPr>
          <w:rFonts w:ascii="Times New Roman" w:eastAsia="Calibri" w:hAnsi="Times New Roman" w:cs="Times New Roman"/>
          <w:iCs/>
          <w:sz w:val="24"/>
          <w:szCs w:val="24"/>
          <w:lang w:eastAsia="bg-BG"/>
        </w:rPr>
      </w:pPr>
      <w:r w:rsidRPr="00D5393B">
        <w:rPr>
          <w:rFonts w:ascii="Times New Roman" w:eastAsia="Calibri" w:hAnsi="Times New Roman" w:cs="Times New Roman"/>
          <w:sz w:val="24"/>
          <w:szCs w:val="24"/>
          <w:lang w:eastAsia="bg-BG"/>
        </w:rPr>
        <w:t xml:space="preserve">Основен акцент в НСРР 2005-2015 е да се намали зависимостта от внос на </w:t>
      </w:r>
      <w:r w:rsidRPr="00D5393B">
        <w:rPr>
          <w:rFonts w:ascii="Times New Roman" w:eastAsia="Calibri" w:hAnsi="Times New Roman" w:cs="Times New Roman"/>
          <w:b/>
          <w:sz w:val="24"/>
          <w:szCs w:val="24"/>
          <w:lang w:eastAsia="bg-BG"/>
        </w:rPr>
        <w:t>енергийни ресурси</w:t>
      </w:r>
      <w:r w:rsidRPr="00D5393B">
        <w:rPr>
          <w:rFonts w:ascii="Times New Roman" w:eastAsia="Calibri" w:hAnsi="Times New Roman" w:cs="Times New Roman"/>
          <w:sz w:val="24"/>
          <w:szCs w:val="24"/>
          <w:lang w:eastAsia="bg-BG"/>
        </w:rPr>
        <w:t xml:space="preserve"> и същевременно да се осигури достъп до екологично чисти и надеждни местни енергийни източници. През периода има значителен напредък относно поставените цели „20/20/20” на стратегия „Европа 2020“ по отношение на климата и енергията. През 2015 г. делът на ел. енергията произведена от ВЕИ у нас  е достигнал 19,1%  от брутното потребление, при 17% средно за ЕС-28. Коефициентът на енергийна зависимост в периода 2005-2015 г. е намалял от 47,6% до 38,1%. Тази промяна се дължи главно на изграждането на нови мощности за производство на ел. енергия от ВЕИ.</w:t>
      </w:r>
    </w:p>
    <w:p w:rsidR="00D5393B" w:rsidRPr="00D5393B" w:rsidRDefault="00D5393B" w:rsidP="0025387F">
      <w:pPr>
        <w:numPr>
          <w:ilvl w:val="0"/>
          <w:numId w:val="6"/>
        </w:numPr>
        <w:tabs>
          <w:tab w:val="left" w:pos="709"/>
        </w:tabs>
        <w:spacing w:after="0" w:line="360" w:lineRule="auto"/>
        <w:jc w:val="both"/>
        <w:rPr>
          <w:rFonts w:ascii="Times New Roman" w:eastAsia="Calibri" w:hAnsi="Times New Roman" w:cs="Times New Roman"/>
          <w:iCs/>
          <w:sz w:val="24"/>
          <w:szCs w:val="24"/>
          <w:lang w:eastAsia="bg-BG"/>
        </w:rPr>
      </w:pPr>
      <w:r w:rsidRPr="00D5393B">
        <w:rPr>
          <w:rFonts w:ascii="Times New Roman" w:eastAsia="Calibri" w:hAnsi="Times New Roman" w:cs="Times New Roman"/>
          <w:sz w:val="24"/>
          <w:szCs w:val="24"/>
          <w:lang w:eastAsia="bg-BG"/>
        </w:rPr>
        <w:t>През 2005 г. относителният дял на възобновяемата енергия е 9,4% и следва постоянна тенденция за покачване, за да достигне 19,1% през 2015 г. Това показва, че страната ни е преизпълнила с 3,1% поставената към 2020 г. цел за 16% дял на енергия от възобновяеми източници още през 2015 г.</w:t>
      </w:r>
    </w:p>
    <w:p w:rsidR="00D5393B" w:rsidRPr="00D5393B" w:rsidRDefault="00D5393B" w:rsidP="0025387F">
      <w:pPr>
        <w:numPr>
          <w:ilvl w:val="0"/>
          <w:numId w:val="6"/>
        </w:numPr>
        <w:tabs>
          <w:tab w:val="left" w:pos="709"/>
        </w:tabs>
        <w:spacing w:after="0" w:line="360" w:lineRule="auto"/>
        <w:jc w:val="both"/>
        <w:rPr>
          <w:rFonts w:ascii="Times New Roman" w:eastAsia="Calibri" w:hAnsi="Times New Roman" w:cs="Times New Roman"/>
          <w:iCs/>
          <w:sz w:val="24"/>
          <w:szCs w:val="24"/>
          <w:lang w:eastAsia="bg-BG"/>
        </w:rPr>
      </w:pPr>
      <w:r w:rsidRPr="00D5393B">
        <w:rPr>
          <w:rFonts w:ascii="Times New Roman" w:eastAsia="Calibri" w:hAnsi="Times New Roman" w:cs="Times New Roman"/>
          <w:sz w:val="24"/>
          <w:szCs w:val="24"/>
          <w:lang w:eastAsia="bg-BG"/>
        </w:rPr>
        <w:t xml:space="preserve">Развитието на </w:t>
      </w:r>
      <w:r w:rsidRPr="00D5393B">
        <w:rPr>
          <w:rFonts w:ascii="Times New Roman" w:eastAsia="Calibri" w:hAnsi="Times New Roman" w:cs="Times New Roman"/>
          <w:b/>
          <w:sz w:val="24"/>
          <w:szCs w:val="24"/>
          <w:lang w:eastAsia="bg-BG"/>
        </w:rPr>
        <w:t>пътната инфраструктура,</w:t>
      </w:r>
      <w:r w:rsidRPr="00D5393B">
        <w:rPr>
          <w:rFonts w:ascii="Times New Roman" w:eastAsia="Calibri" w:hAnsi="Times New Roman" w:cs="Times New Roman"/>
          <w:sz w:val="24"/>
          <w:szCs w:val="24"/>
          <w:lang w:eastAsia="bg-BG"/>
        </w:rPr>
        <w:t xml:space="preserve"> автомагистрали и пътища I клас, за периода 2005-2015 г. е значително. По-слабото ниво на развитие на автомагистралите и пътищата I клас в Северозападния и Северния Централен район обуславя по-голямата натовареност на пътищата с регионално значение, което се отразява неблагоприятно върху времето за  предоставяне на транспортни услуги   и предопределя по-слабото социално и икономическо развитие на някои територии. Към 2015 г. Северния централен район е единствения в страната  без изградена магистрала, а Северозападния район е само със 7 км. Районите с най-развита автомагистрална мрежа към 2015 г. са  ЮИР- 223 км, ЮЗР- 215 км и ЮЦР- 194 км.</w:t>
      </w:r>
    </w:p>
    <w:p w:rsidR="00D5393B" w:rsidRPr="00D5393B" w:rsidRDefault="00D5393B" w:rsidP="0025387F">
      <w:pPr>
        <w:numPr>
          <w:ilvl w:val="0"/>
          <w:numId w:val="6"/>
        </w:numPr>
        <w:tabs>
          <w:tab w:val="left" w:pos="709"/>
        </w:tabs>
        <w:spacing w:after="0" w:line="360" w:lineRule="auto"/>
        <w:jc w:val="both"/>
        <w:rPr>
          <w:rFonts w:ascii="Times New Roman" w:eastAsia="Calibri" w:hAnsi="Times New Roman" w:cs="Times New Roman"/>
          <w:iCs/>
          <w:sz w:val="24"/>
          <w:szCs w:val="24"/>
          <w:lang w:eastAsia="bg-BG"/>
        </w:rPr>
      </w:pPr>
      <w:r w:rsidRPr="00D5393B">
        <w:rPr>
          <w:rFonts w:ascii="Times New Roman" w:eastAsia="Calibri" w:hAnsi="Times New Roman" w:cs="Times New Roman"/>
          <w:sz w:val="24"/>
          <w:szCs w:val="24"/>
          <w:lang w:eastAsia="bg-BG"/>
        </w:rPr>
        <w:t xml:space="preserve">Сектор </w:t>
      </w:r>
      <w:r w:rsidRPr="00D5393B">
        <w:rPr>
          <w:rFonts w:ascii="Times New Roman" w:eastAsia="Calibri" w:hAnsi="Times New Roman" w:cs="Times New Roman"/>
          <w:b/>
          <w:sz w:val="24"/>
          <w:szCs w:val="24"/>
          <w:lang w:eastAsia="bg-BG"/>
        </w:rPr>
        <w:t xml:space="preserve">туризъм </w:t>
      </w:r>
      <w:r w:rsidRPr="00D5393B">
        <w:rPr>
          <w:rFonts w:ascii="Times New Roman" w:eastAsia="Calibri" w:hAnsi="Times New Roman" w:cs="Times New Roman"/>
          <w:sz w:val="24"/>
          <w:szCs w:val="24"/>
          <w:lang w:eastAsia="bg-BG"/>
        </w:rPr>
        <w:t xml:space="preserve">се развива стабилно през последните 10 години в страната. Във всички райони се наблюдава нарастване на реализираните нощувки в местата за настаняване и съответно на приходите от тях. В периода 2005- 2015 г. броя на нощувките в местата за настаняване се е увеличил от  4 447 262  на 8 045 535 бр или констатирано е нарастване с 1,81 пъти. Най-голямо нарастване е регистрирано в  ЮИР- 1 232 772 нощувки повече спрямо 2005 г. Следват ЮЗР- 849 532 бр. нощувки повече и ЮЦР- 831 082 бр. нощувки повече. ; </w:t>
      </w:r>
    </w:p>
    <w:p w:rsidR="00D5393B" w:rsidRPr="00D5393B" w:rsidRDefault="00D5393B" w:rsidP="0025387F">
      <w:pPr>
        <w:numPr>
          <w:ilvl w:val="0"/>
          <w:numId w:val="6"/>
        </w:numPr>
        <w:tabs>
          <w:tab w:val="left" w:pos="709"/>
        </w:tabs>
        <w:spacing w:after="0" w:line="360" w:lineRule="auto"/>
        <w:jc w:val="both"/>
        <w:rPr>
          <w:rFonts w:ascii="Times New Roman" w:eastAsia="Calibri" w:hAnsi="Times New Roman" w:cs="Times New Roman"/>
          <w:iCs/>
          <w:sz w:val="24"/>
          <w:szCs w:val="24"/>
          <w:lang w:eastAsia="bg-BG"/>
        </w:rPr>
      </w:pPr>
      <w:r w:rsidRPr="00D5393B">
        <w:rPr>
          <w:rFonts w:ascii="Times New Roman" w:eastAsia="Calibri" w:hAnsi="Times New Roman" w:cs="Times New Roman"/>
          <w:sz w:val="24"/>
          <w:szCs w:val="24"/>
          <w:lang w:eastAsia="bg-BG"/>
        </w:rPr>
        <w:lastRenderedPageBreak/>
        <w:t xml:space="preserve">Проектите за ТГС са важни за развитието на малките населени места и е препоръчително те да продължат да се изпълняват и да се дава приоритет на периферните градове и села, в които големите инвестиции не винаги достигат; </w:t>
      </w:r>
    </w:p>
    <w:p w:rsidR="00D5393B" w:rsidRPr="00D5393B" w:rsidRDefault="00D5393B" w:rsidP="0025387F">
      <w:pPr>
        <w:numPr>
          <w:ilvl w:val="0"/>
          <w:numId w:val="6"/>
        </w:numPr>
        <w:tabs>
          <w:tab w:val="left" w:pos="709"/>
        </w:tabs>
        <w:spacing w:after="0" w:line="360" w:lineRule="auto"/>
        <w:jc w:val="both"/>
        <w:rPr>
          <w:rFonts w:ascii="Times New Roman" w:eastAsia="Calibri" w:hAnsi="Times New Roman" w:cs="Times New Roman"/>
          <w:iCs/>
          <w:sz w:val="24"/>
          <w:szCs w:val="24"/>
          <w:lang w:eastAsia="bg-BG"/>
        </w:rPr>
      </w:pPr>
      <w:r w:rsidRPr="00D5393B">
        <w:rPr>
          <w:rFonts w:ascii="Times New Roman" w:eastAsia="Calibri" w:hAnsi="Times New Roman" w:cs="Times New Roman"/>
          <w:sz w:val="24"/>
          <w:szCs w:val="24"/>
          <w:lang w:eastAsia="bg-BG"/>
        </w:rPr>
        <w:t xml:space="preserve">При организацията и координацията на компетентните органи за провеждане на държавната политика за регионално развитие се наблюдава добра координация в работата на административните структури както в процеса на разработване на стратегически документи за развитие, така и в процеса на наблюдение и оценка на тяхното изпълнение; </w:t>
      </w:r>
    </w:p>
    <w:p w:rsidR="00D5393B" w:rsidRPr="00D5393B" w:rsidRDefault="00D5393B" w:rsidP="0025387F">
      <w:pPr>
        <w:numPr>
          <w:ilvl w:val="0"/>
          <w:numId w:val="6"/>
        </w:numPr>
        <w:tabs>
          <w:tab w:val="left" w:pos="709"/>
        </w:tabs>
        <w:spacing w:after="0" w:line="360" w:lineRule="auto"/>
        <w:jc w:val="both"/>
        <w:rPr>
          <w:rFonts w:ascii="Times New Roman" w:eastAsia="Calibri" w:hAnsi="Times New Roman" w:cs="Times New Roman"/>
          <w:iCs/>
          <w:sz w:val="24"/>
          <w:szCs w:val="24"/>
          <w:lang w:eastAsia="bg-BG"/>
        </w:rPr>
      </w:pPr>
      <w:r w:rsidRPr="00D5393B">
        <w:rPr>
          <w:rFonts w:ascii="Times New Roman" w:eastAsia="Calibri" w:hAnsi="Times New Roman" w:cs="Times New Roman"/>
          <w:sz w:val="24"/>
          <w:szCs w:val="24"/>
          <w:lang w:eastAsia="bg-BG"/>
        </w:rPr>
        <w:t xml:space="preserve">РСР се утвърждават като действащи, активни органи за провеждане на регионалната политика в районите, които отчитат  специфичните нужди и потенциали на районите. </w:t>
      </w:r>
    </w:p>
    <w:p w:rsidR="00D5393B" w:rsidRDefault="00D5393B" w:rsidP="0025387F">
      <w:pPr>
        <w:numPr>
          <w:ilvl w:val="0"/>
          <w:numId w:val="6"/>
        </w:numPr>
        <w:tabs>
          <w:tab w:val="left" w:pos="709"/>
        </w:tabs>
        <w:spacing w:after="0" w:line="360" w:lineRule="auto"/>
        <w:jc w:val="both"/>
        <w:rPr>
          <w:rFonts w:ascii="Times New Roman" w:eastAsia="Calibri" w:hAnsi="Times New Roman" w:cs="Times New Roman"/>
          <w:iCs/>
          <w:sz w:val="24"/>
          <w:szCs w:val="24"/>
          <w:lang w:eastAsia="bg-BG"/>
        </w:rPr>
      </w:pPr>
      <w:r w:rsidRPr="00D5393B">
        <w:rPr>
          <w:rFonts w:ascii="Times New Roman" w:eastAsia="Calibri" w:hAnsi="Times New Roman" w:cs="Times New Roman"/>
          <w:sz w:val="24"/>
          <w:szCs w:val="24"/>
          <w:lang w:eastAsia="bg-BG"/>
        </w:rPr>
        <w:t xml:space="preserve">Проблем в процеса на наблюдение и оценка на НСРР  и РПР  поражда забавянето с повече от една година на статистическата информация в областта на икономическото развитие  на регионално ниво – райони от ниво 2 и области. Това прави невъзможно своевременното определяне на  тенденциите в изменението на някои индикатори, които определят напредъка по изпълнение на приоритетите на по-ниските териториални нива;  </w:t>
      </w:r>
    </w:p>
    <w:p w:rsidR="00026052" w:rsidRPr="00D5393B" w:rsidRDefault="00D5393B" w:rsidP="0025387F">
      <w:pPr>
        <w:numPr>
          <w:ilvl w:val="0"/>
          <w:numId w:val="6"/>
        </w:numPr>
        <w:tabs>
          <w:tab w:val="left" w:pos="709"/>
        </w:tabs>
        <w:spacing w:after="0" w:line="360" w:lineRule="auto"/>
        <w:jc w:val="both"/>
        <w:rPr>
          <w:rFonts w:ascii="Times New Roman" w:eastAsia="Calibri" w:hAnsi="Times New Roman" w:cs="Times New Roman"/>
          <w:iCs/>
          <w:sz w:val="24"/>
          <w:szCs w:val="24"/>
          <w:lang w:eastAsia="bg-BG"/>
        </w:rPr>
      </w:pPr>
      <w:r w:rsidRPr="00D5393B">
        <w:rPr>
          <w:rFonts w:ascii="Times New Roman" w:eastAsia="Calibri" w:hAnsi="Times New Roman" w:cs="Times New Roman"/>
          <w:iCs/>
          <w:sz w:val="24"/>
          <w:szCs w:val="24"/>
          <w:lang w:eastAsia="bg-BG"/>
        </w:rPr>
        <w:t>През новия период на планиране политиките отразяват по-висока осведоменост относно изменението на климата и финансираните оперативни програми отчитат действията в областта на енергийната ефективност и устойчивата мобилност по по-пряк и интегриран начин, което потвърждава, че при новото поколение програми в рамките на структурните фондове се отделя централно място за мерки, които са недвусмислено свързани с изменението на климата.</w:t>
      </w:r>
    </w:p>
    <w:p w:rsidR="00026052" w:rsidRPr="00026052" w:rsidRDefault="00026052" w:rsidP="00026052">
      <w:pPr>
        <w:tabs>
          <w:tab w:val="left" w:pos="709"/>
        </w:tabs>
        <w:spacing w:after="0" w:line="360" w:lineRule="auto"/>
        <w:ind w:left="360"/>
        <w:contextualSpacing/>
        <w:jc w:val="both"/>
        <w:rPr>
          <w:rFonts w:ascii="Times New Roman" w:eastAsia="Calibri" w:hAnsi="Times New Roman" w:cs="Times New Roman"/>
          <w:b/>
          <w:iCs/>
          <w:sz w:val="24"/>
          <w:szCs w:val="24"/>
        </w:rPr>
      </w:pPr>
      <w:r>
        <w:rPr>
          <w:rFonts w:ascii="Times New Roman" w:eastAsia="Calibri" w:hAnsi="Times New Roman" w:cs="Times New Roman"/>
          <w:b/>
          <w:iCs/>
          <w:sz w:val="24"/>
          <w:szCs w:val="24"/>
        </w:rPr>
        <w:t xml:space="preserve">5.2. </w:t>
      </w:r>
      <w:r w:rsidRPr="00026052">
        <w:rPr>
          <w:rFonts w:ascii="Times New Roman" w:eastAsia="Calibri" w:hAnsi="Times New Roman" w:cs="Times New Roman"/>
          <w:b/>
          <w:iCs/>
          <w:sz w:val="24"/>
          <w:szCs w:val="24"/>
        </w:rPr>
        <w:t>Пре</w:t>
      </w:r>
      <w:r w:rsidR="0089414D">
        <w:rPr>
          <w:rFonts w:ascii="Times New Roman" w:eastAsia="Calibri" w:hAnsi="Times New Roman" w:cs="Times New Roman"/>
          <w:b/>
          <w:iCs/>
          <w:sz w:val="24"/>
          <w:szCs w:val="24"/>
        </w:rPr>
        <w:t>дложения</w:t>
      </w:r>
    </w:p>
    <w:p w:rsidR="00026052" w:rsidRPr="00026052" w:rsidRDefault="00026052" w:rsidP="00026052">
      <w:pPr>
        <w:tabs>
          <w:tab w:val="left" w:pos="709"/>
        </w:tabs>
        <w:spacing w:after="0" w:line="360" w:lineRule="auto"/>
        <w:jc w:val="both"/>
        <w:rPr>
          <w:rFonts w:ascii="Times New Roman" w:eastAsia="Calibri" w:hAnsi="Times New Roman" w:cs="Times New Roman"/>
          <w:b/>
          <w:iCs/>
          <w:sz w:val="24"/>
          <w:szCs w:val="24"/>
        </w:rPr>
      </w:pPr>
    </w:p>
    <w:p w:rsidR="00026052" w:rsidRPr="00026052" w:rsidRDefault="00026052" w:rsidP="00026052">
      <w:pPr>
        <w:tabs>
          <w:tab w:val="left" w:pos="709"/>
        </w:tabs>
        <w:spacing w:after="0" w:line="360" w:lineRule="auto"/>
        <w:jc w:val="both"/>
        <w:rPr>
          <w:rFonts w:ascii="Times New Roman" w:eastAsia="Calibri" w:hAnsi="Times New Roman" w:cs="Times New Roman"/>
          <w:iCs/>
          <w:sz w:val="24"/>
          <w:szCs w:val="24"/>
        </w:rPr>
      </w:pPr>
      <w:r w:rsidRPr="00026052">
        <w:rPr>
          <w:rFonts w:ascii="Times New Roman" w:eastAsia="Calibri" w:hAnsi="Times New Roman" w:cs="Times New Roman"/>
          <w:iCs/>
          <w:sz w:val="24"/>
          <w:szCs w:val="24"/>
        </w:rPr>
        <w:tab/>
        <w:t xml:space="preserve">Регионалното развитие в страната е насочено към развитието на потенциала на българските райони, намаляването на междурегионалните различия и превръщането на всички региони в привлекателно място за живеене и бизнес. </w:t>
      </w:r>
    </w:p>
    <w:p w:rsidR="00026052" w:rsidRPr="00026052" w:rsidRDefault="00026052" w:rsidP="00026052">
      <w:pPr>
        <w:tabs>
          <w:tab w:val="left" w:pos="709"/>
        </w:tabs>
        <w:spacing w:after="0" w:line="360" w:lineRule="auto"/>
        <w:jc w:val="both"/>
        <w:rPr>
          <w:rFonts w:ascii="Times New Roman" w:eastAsia="Calibri" w:hAnsi="Times New Roman" w:cs="Times New Roman"/>
          <w:iCs/>
          <w:sz w:val="24"/>
          <w:szCs w:val="24"/>
        </w:rPr>
      </w:pPr>
      <w:r w:rsidRPr="00026052">
        <w:rPr>
          <w:rFonts w:ascii="Times New Roman" w:eastAsia="Calibri" w:hAnsi="Times New Roman" w:cs="Times New Roman"/>
          <w:iCs/>
          <w:sz w:val="24"/>
          <w:szCs w:val="24"/>
        </w:rPr>
        <w:tab/>
        <w:t xml:space="preserve">С цел намаляване на негативните процеси и по-пълноценно използване на потенциала на районите са направени следните </w:t>
      </w:r>
      <w:r w:rsidR="00661513">
        <w:rPr>
          <w:rFonts w:ascii="Times New Roman" w:eastAsia="Calibri" w:hAnsi="Times New Roman" w:cs="Times New Roman"/>
          <w:iCs/>
          <w:sz w:val="24"/>
          <w:szCs w:val="24"/>
        </w:rPr>
        <w:t xml:space="preserve">предложения и </w:t>
      </w:r>
      <w:r w:rsidRPr="00026052">
        <w:rPr>
          <w:rFonts w:ascii="Times New Roman" w:eastAsia="Calibri" w:hAnsi="Times New Roman" w:cs="Times New Roman"/>
          <w:iCs/>
          <w:sz w:val="24"/>
          <w:szCs w:val="24"/>
        </w:rPr>
        <w:t>препоръки по отношение провеждането на политиката за регионално и местно развитие в периода до 2022 г.:</w:t>
      </w:r>
    </w:p>
    <w:p w:rsidR="00026052" w:rsidRPr="00026052" w:rsidRDefault="00026052" w:rsidP="0025387F">
      <w:pPr>
        <w:numPr>
          <w:ilvl w:val="0"/>
          <w:numId w:val="1"/>
        </w:numPr>
        <w:spacing w:after="200" w:line="360" w:lineRule="auto"/>
        <w:contextualSpacing/>
        <w:jc w:val="both"/>
        <w:rPr>
          <w:rFonts w:ascii="Times New Roman" w:eastAsia="Calibri" w:hAnsi="Times New Roman" w:cs="Times New Roman"/>
          <w:iCs/>
          <w:sz w:val="24"/>
          <w:szCs w:val="24"/>
        </w:rPr>
      </w:pPr>
      <w:r w:rsidRPr="00026052">
        <w:rPr>
          <w:rFonts w:ascii="Times New Roman" w:eastAsia="Calibri" w:hAnsi="Times New Roman" w:cs="Times New Roman"/>
          <w:iCs/>
          <w:sz w:val="24"/>
          <w:szCs w:val="24"/>
        </w:rPr>
        <w:t xml:space="preserve">Акцентиране върху развитието на Интегрираните териториални инвестиции (ИТИ), които ще подпомогнат постигането на комплексен положителен ефект в </w:t>
      </w:r>
      <w:r w:rsidRPr="00026052">
        <w:rPr>
          <w:rFonts w:ascii="Times New Roman" w:eastAsia="Calibri" w:hAnsi="Times New Roman" w:cs="Times New Roman"/>
          <w:iCs/>
          <w:sz w:val="24"/>
          <w:szCs w:val="24"/>
        </w:rPr>
        <w:lastRenderedPageBreak/>
        <w:t>развитието на съответната територия, смекчаването на регионалните различия и по-ефективното усвояване на средствата от различните програми и и</w:t>
      </w:r>
      <w:r w:rsidR="00DC067E">
        <w:rPr>
          <w:rFonts w:ascii="Times New Roman" w:eastAsia="Calibri" w:hAnsi="Times New Roman" w:cs="Times New Roman"/>
          <w:iCs/>
          <w:sz w:val="24"/>
          <w:szCs w:val="24"/>
        </w:rPr>
        <w:t>нструменти за осъществяване на е</w:t>
      </w:r>
      <w:r w:rsidRPr="00026052">
        <w:rPr>
          <w:rFonts w:ascii="Times New Roman" w:eastAsia="Calibri" w:hAnsi="Times New Roman" w:cs="Times New Roman"/>
          <w:iCs/>
          <w:sz w:val="24"/>
          <w:szCs w:val="24"/>
        </w:rPr>
        <w:t>вропейската регионална политика чрез прилагането на интегриран подход в планирането и управлението на територията;</w:t>
      </w:r>
    </w:p>
    <w:p w:rsidR="007066D9" w:rsidRDefault="007066D9" w:rsidP="007066D9">
      <w:pPr>
        <w:numPr>
          <w:ilvl w:val="0"/>
          <w:numId w:val="1"/>
        </w:numPr>
        <w:tabs>
          <w:tab w:val="left" w:pos="709"/>
        </w:tabs>
        <w:spacing w:after="0" w:line="360" w:lineRule="auto"/>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Стартиране подготовката и о</w:t>
      </w:r>
      <w:r w:rsidRPr="00026052">
        <w:rPr>
          <w:rFonts w:ascii="Times New Roman" w:eastAsia="Calibri" w:hAnsi="Times New Roman" w:cs="Times New Roman"/>
          <w:iCs/>
          <w:sz w:val="24"/>
          <w:szCs w:val="24"/>
        </w:rPr>
        <w:t>сигуряване на финансиране на инвестиционни програми в подкрепа на развитието на районите за целенасочена подкрепа</w:t>
      </w:r>
      <w:r>
        <w:rPr>
          <w:rFonts w:ascii="Times New Roman" w:eastAsia="Calibri" w:hAnsi="Times New Roman" w:cs="Times New Roman"/>
          <w:iCs/>
          <w:sz w:val="24"/>
          <w:szCs w:val="24"/>
        </w:rPr>
        <w:t xml:space="preserve"> от държавата</w:t>
      </w:r>
      <w:r w:rsidRPr="00026052">
        <w:rPr>
          <w:rFonts w:ascii="Times New Roman" w:eastAsia="Calibri" w:hAnsi="Times New Roman" w:cs="Times New Roman"/>
          <w:iCs/>
          <w:sz w:val="24"/>
          <w:szCs w:val="24"/>
        </w:rPr>
        <w:t xml:space="preserve"> за преодоляване на икономическата изостаналост, привличане на инвестиции и повишаване на заетостта</w:t>
      </w:r>
      <w:r>
        <w:rPr>
          <w:rFonts w:ascii="Times New Roman" w:eastAsia="Calibri" w:hAnsi="Times New Roman" w:cs="Times New Roman"/>
          <w:iCs/>
          <w:sz w:val="24"/>
          <w:szCs w:val="24"/>
        </w:rPr>
        <w:t>, като се отчитат бюджетните възможности на отговорните институции за съответната година</w:t>
      </w:r>
      <w:r w:rsidRPr="00026052">
        <w:rPr>
          <w:rFonts w:ascii="Times New Roman" w:eastAsia="Calibri" w:hAnsi="Times New Roman" w:cs="Times New Roman"/>
          <w:iCs/>
          <w:sz w:val="24"/>
          <w:szCs w:val="24"/>
        </w:rPr>
        <w:t>;</w:t>
      </w:r>
    </w:p>
    <w:p w:rsidR="00026052" w:rsidRPr="00026052" w:rsidRDefault="00026052" w:rsidP="0025387F">
      <w:pPr>
        <w:numPr>
          <w:ilvl w:val="0"/>
          <w:numId w:val="1"/>
        </w:numPr>
        <w:tabs>
          <w:tab w:val="left" w:pos="709"/>
        </w:tabs>
        <w:spacing w:after="0" w:line="360" w:lineRule="auto"/>
        <w:contextualSpacing/>
        <w:jc w:val="both"/>
        <w:rPr>
          <w:rFonts w:ascii="Times New Roman" w:eastAsia="Calibri" w:hAnsi="Times New Roman" w:cs="Times New Roman"/>
          <w:iCs/>
          <w:sz w:val="24"/>
          <w:szCs w:val="24"/>
        </w:rPr>
      </w:pPr>
      <w:r w:rsidRPr="00026052">
        <w:rPr>
          <w:rFonts w:ascii="Times New Roman" w:eastAsia="Calibri" w:hAnsi="Times New Roman" w:cs="Times New Roman"/>
          <w:iCs/>
          <w:sz w:val="24"/>
          <w:szCs w:val="24"/>
        </w:rPr>
        <w:t>Активно прилагане на модел за реализиране на интегриран териториален подход чрез инструмента „Водено от общностите местно развитие“ в селските</w:t>
      </w:r>
      <w:r w:rsidR="007066D9">
        <w:rPr>
          <w:rFonts w:ascii="Times New Roman" w:eastAsia="Calibri" w:hAnsi="Times New Roman" w:cs="Times New Roman"/>
          <w:iCs/>
          <w:sz w:val="24"/>
          <w:szCs w:val="24"/>
          <w:lang w:val="en-US"/>
        </w:rPr>
        <w:t xml:space="preserve"> </w:t>
      </w:r>
      <w:r w:rsidR="007066D9">
        <w:rPr>
          <w:rFonts w:ascii="Times New Roman" w:eastAsia="Calibri" w:hAnsi="Times New Roman" w:cs="Times New Roman"/>
          <w:iCs/>
          <w:sz w:val="24"/>
          <w:szCs w:val="24"/>
        </w:rPr>
        <w:t xml:space="preserve"> и други</w:t>
      </w:r>
      <w:r w:rsidRPr="00026052">
        <w:rPr>
          <w:rFonts w:ascii="Times New Roman" w:eastAsia="Calibri" w:hAnsi="Times New Roman" w:cs="Times New Roman"/>
          <w:iCs/>
          <w:sz w:val="24"/>
          <w:szCs w:val="24"/>
        </w:rPr>
        <w:t xml:space="preserve"> райони, което да бъде прилагано при запа</w:t>
      </w:r>
      <w:r w:rsidR="00995587">
        <w:rPr>
          <w:rFonts w:ascii="Times New Roman" w:eastAsia="Calibri" w:hAnsi="Times New Roman" w:cs="Times New Roman"/>
          <w:iCs/>
          <w:sz w:val="24"/>
          <w:szCs w:val="24"/>
        </w:rPr>
        <w:t>зване на подхода „отдолу-нагоре“</w:t>
      </w:r>
      <w:r w:rsidRPr="00026052">
        <w:rPr>
          <w:rFonts w:ascii="Times New Roman" w:eastAsia="Calibri" w:hAnsi="Times New Roman" w:cs="Times New Roman"/>
          <w:iCs/>
          <w:sz w:val="24"/>
          <w:szCs w:val="24"/>
        </w:rPr>
        <w:t>, така че местните общности да формулират, избират и одобряват приоритети и стратегия за интегрирано развитие на територията и общностите;</w:t>
      </w:r>
    </w:p>
    <w:p w:rsidR="00026052" w:rsidRDefault="00026052" w:rsidP="0025387F">
      <w:pPr>
        <w:numPr>
          <w:ilvl w:val="0"/>
          <w:numId w:val="1"/>
        </w:numPr>
        <w:tabs>
          <w:tab w:val="left" w:pos="709"/>
        </w:tabs>
        <w:spacing w:after="0" w:line="360" w:lineRule="auto"/>
        <w:contextualSpacing/>
        <w:jc w:val="both"/>
        <w:rPr>
          <w:rFonts w:ascii="Times New Roman" w:eastAsia="Calibri" w:hAnsi="Times New Roman" w:cs="Times New Roman"/>
          <w:iCs/>
          <w:sz w:val="24"/>
          <w:szCs w:val="24"/>
        </w:rPr>
      </w:pPr>
      <w:r w:rsidRPr="00026052">
        <w:rPr>
          <w:rFonts w:ascii="Times New Roman" w:eastAsia="Calibri" w:hAnsi="Times New Roman" w:cs="Times New Roman"/>
          <w:iCs/>
          <w:sz w:val="24"/>
          <w:szCs w:val="24"/>
        </w:rPr>
        <w:t xml:space="preserve">Регионалните и областните схеми </w:t>
      </w:r>
      <w:r w:rsidR="00DC067E">
        <w:rPr>
          <w:rFonts w:ascii="Times New Roman" w:eastAsia="Calibri" w:hAnsi="Times New Roman" w:cs="Times New Roman"/>
          <w:iCs/>
          <w:sz w:val="24"/>
          <w:szCs w:val="24"/>
        </w:rPr>
        <w:t xml:space="preserve">за пространствено развитие </w:t>
      </w:r>
      <w:r w:rsidRPr="00026052">
        <w:rPr>
          <w:rFonts w:ascii="Times New Roman" w:eastAsia="Calibri" w:hAnsi="Times New Roman" w:cs="Times New Roman"/>
          <w:iCs/>
          <w:sz w:val="24"/>
          <w:szCs w:val="24"/>
        </w:rPr>
        <w:t>са основните документи за планиране и изследвате на ди</w:t>
      </w:r>
      <w:r w:rsidR="00DC067E">
        <w:rPr>
          <w:rFonts w:ascii="Times New Roman" w:eastAsia="Calibri" w:hAnsi="Times New Roman" w:cs="Times New Roman"/>
          <w:iCs/>
          <w:sz w:val="24"/>
          <w:szCs w:val="24"/>
        </w:rPr>
        <w:t>намично развиващите се социално</w:t>
      </w:r>
      <w:r w:rsidRPr="00026052">
        <w:rPr>
          <w:rFonts w:ascii="Times New Roman" w:eastAsia="Calibri" w:hAnsi="Times New Roman" w:cs="Times New Roman"/>
          <w:iCs/>
          <w:sz w:val="24"/>
          <w:szCs w:val="24"/>
        </w:rPr>
        <w:t xml:space="preserve">-икономически процеси </w:t>
      </w:r>
      <w:r w:rsidR="006D5FF7">
        <w:rPr>
          <w:rFonts w:ascii="Times New Roman" w:eastAsia="Calibri" w:hAnsi="Times New Roman" w:cs="Times New Roman"/>
          <w:iCs/>
          <w:sz w:val="24"/>
          <w:szCs w:val="24"/>
        </w:rPr>
        <w:t>в пространството и устройството</w:t>
      </w:r>
      <w:r w:rsidRPr="00026052">
        <w:rPr>
          <w:rFonts w:ascii="Times New Roman" w:eastAsia="Calibri" w:hAnsi="Times New Roman" w:cs="Times New Roman"/>
          <w:iCs/>
          <w:sz w:val="24"/>
          <w:szCs w:val="24"/>
        </w:rPr>
        <w:t xml:space="preserve"> на територията. В този смисъл, тези документи и ГИС базата дан</w:t>
      </w:r>
      <w:r w:rsidR="00DC067E">
        <w:rPr>
          <w:rFonts w:ascii="Times New Roman" w:eastAsia="Calibri" w:hAnsi="Times New Roman" w:cs="Times New Roman"/>
          <w:iCs/>
          <w:sz w:val="24"/>
          <w:szCs w:val="24"/>
        </w:rPr>
        <w:t>ни/система, разработена към тях,</w:t>
      </w:r>
      <w:r w:rsidRPr="00026052">
        <w:rPr>
          <w:rFonts w:ascii="Times New Roman" w:eastAsia="Calibri" w:hAnsi="Times New Roman" w:cs="Times New Roman"/>
          <w:iCs/>
          <w:sz w:val="24"/>
          <w:szCs w:val="24"/>
        </w:rPr>
        <w:t xml:space="preserve"> следва да бъдат използвани като основен инструмент за изследване на пространствените елементи и тяхното развитие, както и за оценка /мониторинг по изпълнение на заложените цели в Н</w:t>
      </w:r>
      <w:r w:rsidR="00B47379">
        <w:rPr>
          <w:rFonts w:ascii="Times New Roman" w:eastAsia="Calibri" w:hAnsi="Times New Roman" w:cs="Times New Roman"/>
          <w:iCs/>
          <w:sz w:val="24"/>
          <w:szCs w:val="24"/>
        </w:rPr>
        <w:t>ационалната концепция за пространствено развитие 2013-2025 г.</w:t>
      </w:r>
      <w:r w:rsidRPr="00026052">
        <w:rPr>
          <w:rFonts w:ascii="Times New Roman" w:eastAsia="Calibri" w:hAnsi="Times New Roman" w:cs="Times New Roman"/>
          <w:iCs/>
          <w:sz w:val="24"/>
          <w:szCs w:val="24"/>
        </w:rPr>
        <w:t xml:space="preserve"> и за провеждане на националната </w:t>
      </w:r>
      <w:r w:rsidR="00B47379">
        <w:rPr>
          <w:rFonts w:ascii="Times New Roman" w:eastAsia="Calibri" w:hAnsi="Times New Roman" w:cs="Times New Roman"/>
          <w:iCs/>
          <w:sz w:val="24"/>
          <w:szCs w:val="24"/>
        </w:rPr>
        <w:t xml:space="preserve">пространствена </w:t>
      </w:r>
      <w:r w:rsidRPr="00026052">
        <w:rPr>
          <w:rFonts w:ascii="Times New Roman" w:eastAsia="Calibri" w:hAnsi="Times New Roman" w:cs="Times New Roman"/>
          <w:iCs/>
          <w:sz w:val="24"/>
          <w:szCs w:val="24"/>
        </w:rPr>
        <w:t>политика</w:t>
      </w:r>
      <w:r w:rsidR="00B47379">
        <w:rPr>
          <w:rFonts w:ascii="Times New Roman" w:eastAsia="Calibri" w:hAnsi="Times New Roman" w:cs="Times New Roman"/>
          <w:iCs/>
          <w:sz w:val="24"/>
          <w:szCs w:val="24"/>
        </w:rPr>
        <w:t xml:space="preserve"> за развитие</w:t>
      </w:r>
      <w:r w:rsidR="00A6053C">
        <w:rPr>
          <w:rFonts w:ascii="Times New Roman" w:eastAsia="Calibri" w:hAnsi="Times New Roman" w:cs="Times New Roman"/>
          <w:iCs/>
          <w:sz w:val="24"/>
          <w:szCs w:val="24"/>
        </w:rPr>
        <w:t>;</w:t>
      </w:r>
    </w:p>
    <w:p w:rsidR="00A6053C" w:rsidRPr="007578C2" w:rsidRDefault="00A6053C" w:rsidP="0025387F">
      <w:pPr>
        <w:pStyle w:val="ListParagraph"/>
        <w:numPr>
          <w:ilvl w:val="0"/>
          <w:numId w:val="7"/>
        </w:numPr>
        <w:spacing w:line="360" w:lineRule="auto"/>
        <w:ind w:left="709" w:hanging="284"/>
        <w:jc w:val="both"/>
        <w:rPr>
          <w:rFonts w:ascii="Times New Roman" w:eastAsia="Calibri" w:hAnsi="Times New Roman" w:cs="Times New Roman"/>
          <w:iCs/>
          <w:sz w:val="24"/>
          <w:szCs w:val="24"/>
        </w:rPr>
      </w:pPr>
      <w:r w:rsidRPr="007578C2">
        <w:rPr>
          <w:rFonts w:ascii="Times New Roman" w:eastAsia="Times New Roman" w:hAnsi="Times New Roman" w:cs="Times New Roman"/>
          <w:sz w:val="24"/>
          <w:szCs w:val="24"/>
          <w:lang w:eastAsia="bg-BG"/>
        </w:rPr>
        <w:t xml:space="preserve">Необходимо е компетентните институции в съответните сектори да отчитат </w:t>
      </w:r>
      <w:r w:rsidRPr="007578C2">
        <w:rPr>
          <w:rFonts w:ascii="Times New Roman" w:eastAsia="Times New Roman" w:hAnsi="Times New Roman" w:cs="Times New Roman"/>
          <w:sz w:val="24"/>
          <w:szCs w:val="24"/>
          <w:highlight w:val="white"/>
          <w:shd w:val="clear" w:color="auto" w:fill="FEFEFE"/>
        </w:rPr>
        <w:t>целите и приоритетите на Националната стратегия за регионално развитие</w:t>
      </w:r>
      <w:r w:rsidR="00316BEA" w:rsidRPr="007578C2">
        <w:rPr>
          <w:rFonts w:ascii="Times New Roman" w:eastAsia="Times New Roman" w:hAnsi="Times New Roman" w:cs="Times New Roman"/>
          <w:sz w:val="24"/>
          <w:szCs w:val="24"/>
          <w:highlight w:val="white"/>
          <w:shd w:val="clear" w:color="auto" w:fill="FEFEFE"/>
        </w:rPr>
        <w:t xml:space="preserve"> при провеждане на секторните политики в рамките на своите компетенции</w:t>
      </w:r>
      <w:r w:rsidRPr="007578C2">
        <w:rPr>
          <w:rFonts w:ascii="Times New Roman" w:eastAsia="Times New Roman" w:hAnsi="Times New Roman" w:cs="Times New Roman"/>
          <w:sz w:val="24"/>
          <w:szCs w:val="24"/>
          <w:highlight w:val="white"/>
          <w:shd w:val="clear" w:color="auto" w:fill="FEFEFE"/>
        </w:rPr>
        <w:t xml:space="preserve">, вкл. от гледна точка на </w:t>
      </w:r>
      <w:r w:rsidRPr="007578C2">
        <w:rPr>
          <w:rFonts w:ascii="Times New Roman" w:eastAsia="Times New Roman" w:hAnsi="Times New Roman" w:cs="Times New Roman"/>
          <w:sz w:val="24"/>
          <w:szCs w:val="24"/>
          <w:lang w:val="en-US" w:eastAsia="bg-BG"/>
        </w:rPr>
        <w:t xml:space="preserve"> </w:t>
      </w:r>
      <w:r w:rsidRPr="007578C2">
        <w:rPr>
          <w:rFonts w:ascii="Times New Roman" w:eastAsia="Times New Roman" w:hAnsi="Times New Roman" w:cs="Times New Roman"/>
          <w:sz w:val="24"/>
          <w:szCs w:val="24"/>
          <w:lang w:eastAsia="bg-BG"/>
        </w:rPr>
        <w:t>а</w:t>
      </w:r>
      <w:r w:rsidR="00316BEA" w:rsidRPr="007578C2">
        <w:rPr>
          <w:rFonts w:ascii="Times New Roman" w:eastAsia="Times New Roman" w:hAnsi="Times New Roman" w:cs="Times New Roman"/>
          <w:sz w:val="24"/>
          <w:szCs w:val="24"/>
          <w:lang w:eastAsia="bg-BG"/>
        </w:rPr>
        <w:t>дресиране на конкретни проблеми.</w:t>
      </w:r>
    </w:p>
    <w:p w:rsidR="00026052" w:rsidRPr="00026052" w:rsidRDefault="00026052" w:rsidP="00026052">
      <w:pPr>
        <w:tabs>
          <w:tab w:val="left" w:pos="709"/>
        </w:tabs>
        <w:spacing w:after="0" w:line="360" w:lineRule="auto"/>
        <w:contextualSpacing/>
        <w:jc w:val="both"/>
        <w:rPr>
          <w:rFonts w:ascii="Times New Roman" w:eastAsia="Calibri" w:hAnsi="Times New Roman" w:cs="Times New Roman"/>
          <w:iCs/>
          <w:sz w:val="24"/>
          <w:szCs w:val="24"/>
        </w:rPr>
      </w:pPr>
      <w:r w:rsidRPr="00026052">
        <w:rPr>
          <w:rFonts w:ascii="Times New Roman" w:eastAsia="Calibri" w:hAnsi="Times New Roman" w:cs="Times New Roman"/>
          <w:iCs/>
          <w:sz w:val="24"/>
          <w:szCs w:val="24"/>
        </w:rPr>
        <w:tab/>
        <w:t xml:space="preserve">Основните области, в които ще бъдат съсредоточени </w:t>
      </w:r>
      <w:r w:rsidR="00BD1B7E">
        <w:rPr>
          <w:rFonts w:ascii="Times New Roman" w:eastAsia="Calibri" w:hAnsi="Times New Roman" w:cs="Times New Roman"/>
          <w:iCs/>
          <w:sz w:val="24"/>
          <w:szCs w:val="24"/>
        </w:rPr>
        <w:t>публичните</w:t>
      </w:r>
      <w:r w:rsidRPr="00026052">
        <w:rPr>
          <w:rFonts w:ascii="Times New Roman" w:eastAsia="Calibri" w:hAnsi="Times New Roman" w:cs="Times New Roman"/>
          <w:iCs/>
          <w:sz w:val="24"/>
          <w:szCs w:val="24"/>
        </w:rPr>
        <w:t xml:space="preserve"> интервенции, включват:</w:t>
      </w:r>
    </w:p>
    <w:p w:rsidR="00026052" w:rsidRPr="00026052" w:rsidRDefault="00026052" w:rsidP="0025387F">
      <w:pPr>
        <w:numPr>
          <w:ilvl w:val="0"/>
          <w:numId w:val="5"/>
        </w:numPr>
        <w:tabs>
          <w:tab w:val="left" w:pos="709"/>
        </w:tabs>
        <w:spacing w:after="0" w:line="360" w:lineRule="auto"/>
        <w:contextualSpacing/>
        <w:jc w:val="both"/>
        <w:rPr>
          <w:rFonts w:ascii="Times New Roman" w:eastAsia="Calibri" w:hAnsi="Times New Roman" w:cs="Times New Roman"/>
          <w:iCs/>
          <w:sz w:val="24"/>
          <w:szCs w:val="24"/>
        </w:rPr>
      </w:pPr>
      <w:r w:rsidRPr="00026052">
        <w:rPr>
          <w:rFonts w:ascii="Times New Roman" w:eastAsia="Calibri" w:hAnsi="Times New Roman" w:cs="Times New Roman"/>
          <w:iCs/>
          <w:sz w:val="24"/>
          <w:szCs w:val="24"/>
        </w:rPr>
        <w:t xml:space="preserve">стратегическо планиране и регионално управление чрез повишаване  капацитета на </w:t>
      </w:r>
      <w:r w:rsidR="007049EA">
        <w:rPr>
          <w:rFonts w:ascii="Times New Roman" w:eastAsia="Calibri" w:hAnsi="Times New Roman" w:cs="Times New Roman"/>
          <w:iCs/>
          <w:sz w:val="24"/>
          <w:szCs w:val="24"/>
        </w:rPr>
        <w:t xml:space="preserve">регионалните и </w:t>
      </w:r>
      <w:r w:rsidRPr="00026052">
        <w:rPr>
          <w:rFonts w:ascii="Times New Roman" w:eastAsia="Calibri" w:hAnsi="Times New Roman" w:cs="Times New Roman"/>
          <w:iCs/>
          <w:sz w:val="24"/>
          <w:szCs w:val="24"/>
        </w:rPr>
        <w:t xml:space="preserve">местните власти; </w:t>
      </w:r>
    </w:p>
    <w:p w:rsidR="00026052" w:rsidRPr="00026052" w:rsidRDefault="00026052" w:rsidP="0025387F">
      <w:pPr>
        <w:numPr>
          <w:ilvl w:val="0"/>
          <w:numId w:val="5"/>
        </w:numPr>
        <w:tabs>
          <w:tab w:val="left" w:pos="709"/>
        </w:tabs>
        <w:spacing w:after="0" w:line="360" w:lineRule="auto"/>
        <w:contextualSpacing/>
        <w:jc w:val="both"/>
        <w:rPr>
          <w:rFonts w:ascii="Times New Roman" w:eastAsia="Calibri" w:hAnsi="Times New Roman" w:cs="Times New Roman"/>
          <w:iCs/>
          <w:sz w:val="24"/>
          <w:szCs w:val="24"/>
        </w:rPr>
      </w:pPr>
      <w:r w:rsidRPr="00026052">
        <w:rPr>
          <w:rFonts w:ascii="Times New Roman" w:eastAsia="Calibri" w:hAnsi="Times New Roman" w:cs="Times New Roman"/>
          <w:iCs/>
          <w:sz w:val="24"/>
          <w:szCs w:val="24"/>
        </w:rPr>
        <w:t xml:space="preserve">стимулиране развитието на градовете и подобряване  интеграцията на българските региони чрез интегрирано устойчиво градско развитие и укрепване  функциите на полицентричната мрежа на градовете; </w:t>
      </w:r>
    </w:p>
    <w:p w:rsidR="00026052" w:rsidRPr="00026052" w:rsidRDefault="00026052" w:rsidP="0025387F">
      <w:pPr>
        <w:numPr>
          <w:ilvl w:val="0"/>
          <w:numId w:val="5"/>
        </w:numPr>
        <w:tabs>
          <w:tab w:val="left" w:pos="709"/>
        </w:tabs>
        <w:spacing w:after="0" w:line="360" w:lineRule="auto"/>
        <w:contextualSpacing/>
        <w:jc w:val="both"/>
        <w:rPr>
          <w:rFonts w:ascii="Times New Roman" w:eastAsia="Calibri" w:hAnsi="Times New Roman" w:cs="Times New Roman"/>
          <w:iCs/>
          <w:sz w:val="24"/>
          <w:szCs w:val="24"/>
        </w:rPr>
      </w:pPr>
      <w:r w:rsidRPr="00026052">
        <w:rPr>
          <w:rFonts w:ascii="Times New Roman" w:eastAsia="Calibri" w:hAnsi="Times New Roman" w:cs="Times New Roman"/>
          <w:iCs/>
          <w:sz w:val="24"/>
          <w:szCs w:val="24"/>
        </w:rPr>
        <w:lastRenderedPageBreak/>
        <w:t xml:space="preserve">подобряване на трудовата градска мобилност; </w:t>
      </w:r>
    </w:p>
    <w:p w:rsidR="00026052" w:rsidRPr="00026052" w:rsidRDefault="00026052" w:rsidP="0025387F">
      <w:pPr>
        <w:numPr>
          <w:ilvl w:val="0"/>
          <w:numId w:val="5"/>
        </w:numPr>
        <w:tabs>
          <w:tab w:val="left" w:pos="709"/>
        </w:tabs>
        <w:spacing w:after="0" w:line="360" w:lineRule="auto"/>
        <w:contextualSpacing/>
        <w:jc w:val="both"/>
        <w:rPr>
          <w:rFonts w:ascii="Times New Roman" w:eastAsia="Calibri" w:hAnsi="Times New Roman" w:cs="Times New Roman"/>
          <w:iCs/>
          <w:sz w:val="24"/>
          <w:szCs w:val="24"/>
        </w:rPr>
      </w:pPr>
      <w:r w:rsidRPr="00026052">
        <w:rPr>
          <w:rFonts w:ascii="Times New Roman" w:eastAsia="Calibri" w:hAnsi="Times New Roman" w:cs="Times New Roman"/>
          <w:iCs/>
          <w:sz w:val="24"/>
          <w:szCs w:val="24"/>
        </w:rPr>
        <w:t>развитие и подобряване на достъпа до културни услуги и спорт в регионите и изграждане на широколентова инфраструктура;</w:t>
      </w:r>
    </w:p>
    <w:p w:rsidR="00026052" w:rsidRPr="00026052" w:rsidRDefault="00026052" w:rsidP="0025387F">
      <w:pPr>
        <w:numPr>
          <w:ilvl w:val="0"/>
          <w:numId w:val="5"/>
        </w:numPr>
        <w:tabs>
          <w:tab w:val="left" w:pos="709"/>
        </w:tabs>
        <w:spacing w:after="0" w:line="360" w:lineRule="auto"/>
        <w:contextualSpacing/>
        <w:jc w:val="both"/>
        <w:rPr>
          <w:rFonts w:ascii="Times New Roman" w:eastAsia="Calibri" w:hAnsi="Times New Roman" w:cs="Times New Roman"/>
          <w:iCs/>
          <w:sz w:val="24"/>
          <w:szCs w:val="24"/>
        </w:rPr>
      </w:pPr>
      <w:r w:rsidRPr="00026052">
        <w:rPr>
          <w:rFonts w:ascii="Times New Roman" w:eastAsia="Calibri" w:hAnsi="Times New Roman" w:cs="Times New Roman"/>
          <w:iCs/>
          <w:sz w:val="24"/>
          <w:szCs w:val="24"/>
        </w:rPr>
        <w:t xml:space="preserve">подкрепа за ефективно и устойчиво усвояване на туристическия потенциал на регионите чрез развитие на инфраструктурата за специализирани форми на туризъм и маркетинг на туристическите </w:t>
      </w:r>
      <w:r w:rsidR="007049EA">
        <w:rPr>
          <w:rFonts w:ascii="Times New Roman" w:eastAsia="Calibri" w:hAnsi="Times New Roman" w:cs="Times New Roman"/>
          <w:iCs/>
          <w:sz w:val="24"/>
          <w:szCs w:val="24"/>
        </w:rPr>
        <w:t>дестинации</w:t>
      </w:r>
      <w:r w:rsidRPr="00026052">
        <w:rPr>
          <w:rFonts w:ascii="Times New Roman" w:eastAsia="Calibri" w:hAnsi="Times New Roman" w:cs="Times New Roman"/>
          <w:iCs/>
          <w:sz w:val="24"/>
          <w:szCs w:val="24"/>
        </w:rPr>
        <w:t xml:space="preserve"> и формиране на регионални туристически продукти; </w:t>
      </w:r>
    </w:p>
    <w:p w:rsidR="00026052" w:rsidRPr="00026052" w:rsidRDefault="00026052" w:rsidP="0025387F">
      <w:pPr>
        <w:numPr>
          <w:ilvl w:val="0"/>
          <w:numId w:val="5"/>
        </w:numPr>
        <w:tabs>
          <w:tab w:val="left" w:pos="709"/>
        </w:tabs>
        <w:spacing w:after="0" w:line="360" w:lineRule="auto"/>
        <w:contextualSpacing/>
        <w:jc w:val="both"/>
        <w:rPr>
          <w:rFonts w:ascii="Times New Roman" w:eastAsia="Calibri" w:hAnsi="Times New Roman" w:cs="Times New Roman"/>
          <w:iCs/>
          <w:sz w:val="24"/>
          <w:szCs w:val="24"/>
        </w:rPr>
      </w:pPr>
      <w:r w:rsidRPr="00026052">
        <w:rPr>
          <w:rFonts w:ascii="Times New Roman" w:eastAsia="Calibri" w:hAnsi="Times New Roman" w:cs="Times New Roman"/>
          <w:iCs/>
          <w:sz w:val="24"/>
          <w:szCs w:val="24"/>
        </w:rPr>
        <w:t>създаване на условия за опазване и подобряване на околната среда в регионите чрез подобряване качеството и ефективността на водоснабдителните услуги за бизнеса и населението,  изграждане и модернизиране на канализационните системи и пречистване на отпадъчните води, за устойчивото управление на водните ресурси;</w:t>
      </w:r>
    </w:p>
    <w:p w:rsidR="007066D9" w:rsidRDefault="007066D9" w:rsidP="007066D9">
      <w:pPr>
        <w:numPr>
          <w:ilvl w:val="0"/>
          <w:numId w:val="5"/>
        </w:numPr>
        <w:spacing w:line="360" w:lineRule="auto"/>
        <w:contextualSpacing/>
        <w:jc w:val="both"/>
        <w:rPr>
          <w:rFonts w:ascii="Times New Roman" w:eastAsia="Calibri" w:hAnsi="Times New Roman" w:cs="Times New Roman"/>
          <w:iCs/>
          <w:sz w:val="24"/>
          <w:szCs w:val="24"/>
        </w:rPr>
      </w:pPr>
      <w:r w:rsidRPr="001A3194">
        <w:rPr>
          <w:rFonts w:ascii="Times New Roman" w:eastAsia="Calibri" w:hAnsi="Times New Roman" w:cs="Times New Roman"/>
          <w:iCs/>
          <w:sz w:val="24"/>
          <w:szCs w:val="24"/>
        </w:rPr>
        <w:t>развитие на нисковъглеродна икономика и насърчаване на енергийната ефективност на регионално и местно ниво;</w:t>
      </w:r>
    </w:p>
    <w:p w:rsidR="00026052" w:rsidRPr="00026052" w:rsidRDefault="00026052" w:rsidP="0025387F">
      <w:pPr>
        <w:numPr>
          <w:ilvl w:val="0"/>
          <w:numId w:val="5"/>
        </w:numPr>
        <w:tabs>
          <w:tab w:val="left" w:pos="709"/>
        </w:tabs>
        <w:spacing w:after="0" w:line="360" w:lineRule="auto"/>
        <w:contextualSpacing/>
        <w:jc w:val="both"/>
        <w:rPr>
          <w:rFonts w:ascii="Times New Roman" w:eastAsia="Calibri" w:hAnsi="Times New Roman" w:cs="Times New Roman"/>
          <w:iCs/>
          <w:sz w:val="24"/>
          <w:szCs w:val="24"/>
        </w:rPr>
      </w:pPr>
      <w:r w:rsidRPr="00026052">
        <w:rPr>
          <w:rFonts w:ascii="Times New Roman" w:eastAsia="Calibri" w:hAnsi="Times New Roman" w:cs="Times New Roman"/>
          <w:iCs/>
          <w:sz w:val="24"/>
          <w:szCs w:val="24"/>
        </w:rPr>
        <w:t>засилване на териториалната кохезия чрез развитие на трансгранично, междурегионално и транснационално</w:t>
      </w:r>
      <w:r w:rsidR="007049EA">
        <w:rPr>
          <w:rFonts w:ascii="Times New Roman" w:eastAsia="Calibri" w:hAnsi="Times New Roman" w:cs="Times New Roman"/>
          <w:iCs/>
          <w:sz w:val="24"/>
          <w:szCs w:val="24"/>
        </w:rPr>
        <w:t>то</w:t>
      </w:r>
      <w:r w:rsidRPr="00026052">
        <w:rPr>
          <w:rFonts w:ascii="Times New Roman" w:eastAsia="Calibri" w:hAnsi="Times New Roman" w:cs="Times New Roman"/>
          <w:iCs/>
          <w:sz w:val="24"/>
          <w:szCs w:val="24"/>
        </w:rPr>
        <w:t xml:space="preserve"> сътрудничество.</w:t>
      </w:r>
    </w:p>
    <w:p w:rsidR="00BD1B7E" w:rsidRDefault="00BD1B7E" w:rsidP="00026052">
      <w:pPr>
        <w:spacing w:after="200" w:line="360" w:lineRule="auto"/>
        <w:ind w:left="360"/>
        <w:contextualSpacing/>
        <w:jc w:val="both"/>
        <w:rPr>
          <w:rFonts w:ascii="Times New Roman" w:eastAsia="Calibri" w:hAnsi="Times New Roman" w:cs="Times New Roman"/>
          <w:iCs/>
          <w:sz w:val="24"/>
          <w:szCs w:val="24"/>
        </w:rPr>
      </w:pPr>
    </w:p>
    <w:p w:rsidR="00026052" w:rsidRPr="00026052" w:rsidRDefault="00BD1B7E" w:rsidP="00026052">
      <w:pPr>
        <w:spacing w:after="200" w:line="360" w:lineRule="auto"/>
        <w:ind w:left="360"/>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ab/>
      </w:r>
      <w:r w:rsidR="00026052" w:rsidRPr="00026052">
        <w:rPr>
          <w:rFonts w:ascii="Times New Roman" w:eastAsia="Calibri" w:hAnsi="Times New Roman" w:cs="Times New Roman"/>
          <w:iCs/>
          <w:sz w:val="24"/>
          <w:szCs w:val="24"/>
        </w:rPr>
        <w:t xml:space="preserve">В процеса на планиране и програмиране </w:t>
      </w:r>
      <w:r w:rsidR="007049EA">
        <w:rPr>
          <w:rFonts w:ascii="Times New Roman" w:eastAsia="Calibri" w:hAnsi="Times New Roman" w:cs="Times New Roman"/>
          <w:iCs/>
          <w:sz w:val="24"/>
          <w:szCs w:val="24"/>
        </w:rPr>
        <w:t xml:space="preserve">на регионалното и местното развитие </w:t>
      </w:r>
      <w:r w:rsidR="00026052" w:rsidRPr="00026052">
        <w:rPr>
          <w:rFonts w:ascii="Times New Roman" w:eastAsia="Calibri" w:hAnsi="Times New Roman" w:cs="Times New Roman"/>
          <w:iCs/>
          <w:sz w:val="24"/>
          <w:szCs w:val="24"/>
        </w:rPr>
        <w:t>е необходимо да залегнат дейности по отношение изменението на климата</w:t>
      </w:r>
      <w:r w:rsidR="007049EA">
        <w:rPr>
          <w:rFonts w:ascii="Times New Roman" w:eastAsia="Calibri" w:hAnsi="Times New Roman" w:cs="Times New Roman"/>
          <w:iCs/>
          <w:sz w:val="24"/>
          <w:szCs w:val="24"/>
        </w:rPr>
        <w:t xml:space="preserve"> в посока </w:t>
      </w:r>
      <w:r w:rsidR="00026052" w:rsidRPr="00026052">
        <w:rPr>
          <w:rFonts w:ascii="Times New Roman" w:eastAsia="Calibri" w:hAnsi="Times New Roman" w:cs="Times New Roman"/>
          <w:iCs/>
          <w:sz w:val="24"/>
          <w:szCs w:val="24"/>
        </w:rPr>
        <w:t>подкрепа за преминаването към нисковъглеродна икономика във всички сектори, насърчаване на адаптацията към изменението на климата, превенц</w:t>
      </w:r>
      <w:r w:rsidR="007049EA">
        <w:rPr>
          <w:rFonts w:ascii="Times New Roman" w:eastAsia="Calibri" w:hAnsi="Times New Roman" w:cs="Times New Roman"/>
          <w:iCs/>
          <w:sz w:val="24"/>
          <w:szCs w:val="24"/>
        </w:rPr>
        <w:t>ията и управлението на риска,</w:t>
      </w:r>
      <w:r w:rsidR="00026052" w:rsidRPr="00026052">
        <w:rPr>
          <w:rFonts w:ascii="Times New Roman" w:eastAsia="Calibri" w:hAnsi="Times New Roman" w:cs="Times New Roman"/>
          <w:iCs/>
          <w:sz w:val="24"/>
          <w:szCs w:val="24"/>
        </w:rPr>
        <w:t xml:space="preserve"> опазване на околната среда и насърчаване на ресурсната ефективност.</w:t>
      </w:r>
    </w:p>
    <w:p w:rsidR="00026052" w:rsidRPr="00026052" w:rsidRDefault="00026052" w:rsidP="00026052">
      <w:pPr>
        <w:tabs>
          <w:tab w:val="left" w:pos="709"/>
        </w:tabs>
        <w:spacing w:after="0" w:line="360" w:lineRule="auto"/>
        <w:ind w:left="360"/>
        <w:jc w:val="both"/>
        <w:rPr>
          <w:rFonts w:ascii="Times New Roman" w:eastAsia="Calibri" w:hAnsi="Times New Roman" w:cs="Times New Roman"/>
          <w:iCs/>
          <w:sz w:val="24"/>
          <w:szCs w:val="24"/>
        </w:rPr>
      </w:pPr>
    </w:p>
    <w:p w:rsidR="00026052" w:rsidRPr="00026052" w:rsidRDefault="00026052" w:rsidP="00026052">
      <w:pPr>
        <w:tabs>
          <w:tab w:val="left" w:pos="709"/>
        </w:tabs>
        <w:spacing w:after="0" w:line="360" w:lineRule="auto"/>
        <w:ind w:left="360"/>
        <w:contextualSpacing/>
        <w:jc w:val="both"/>
        <w:rPr>
          <w:rFonts w:ascii="Times New Roman" w:eastAsia="Calibri" w:hAnsi="Times New Roman" w:cs="Times New Roman"/>
          <w:b/>
          <w:iCs/>
          <w:sz w:val="24"/>
          <w:szCs w:val="24"/>
        </w:rPr>
      </w:pPr>
      <w:r>
        <w:rPr>
          <w:rFonts w:ascii="Times New Roman" w:eastAsia="Calibri" w:hAnsi="Times New Roman" w:cs="Times New Roman"/>
          <w:b/>
          <w:iCs/>
          <w:sz w:val="24"/>
          <w:szCs w:val="24"/>
        </w:rPr>
        <w:t xml:space="preserve">5.3. </w:t>
      </w:r>
      <w:r w:rsidRPr="00026052">
        <w:rPr>
          <w:rFonts w:ascii="Times New Roman" w:eastAsia="Calibri" w:hAnsi="Times New Roman" w:cs="Times New Roman"/>
          <w:b/>
          <w:iCs/>
          <w:sz w:val="24"/>
          <w:szCs w:val="24"/>
        </w:rPr>
        <w:t xml:space="preserve">Актуализация на НСРР 2012-2022 г. </w:t>
      </w:r>
    </w:p>
    <w:p w:rsidR="007066D9" w:rsidRPr="007066D9" w:rsidRDefault="00026052" w:rsidP="007066D9">
      <w:pPr>
        <w:spacing w:line="360" w:lineRule="auto"/>
        <w:contextualSpacing/>
        <w:jc w:val="both"/>
        <w:rPr>
          <w:rFonts w:ascii="Times New Roman" w:eastAsia="Calibri" w:hAnsi="Times New Roman" w:cs="Times New Roman"/>
          <w:iCs/>
          <w:sz w:val="24"/>
          <w:szCs w:val="24"/>
        </w:rPr>
      </w:pPr>
      <w:r w:rsidRPr="00026052">
        <w:rPr>
          <w:rFonts w:ascii="Times New Roman" w:eastAsia="Calibri" w:hAnsi="Times New Roman" w:cs="Times New Roman"/>
          <w:iCs/>
          <w:sz w:val="24"/>
          <w:szCs w:val="24"/>
        </w:rPr>
        <w:tab/>
      </w:r>
      <w:r w:rsidR="007066D9" w:rsidRPr="007066D9">
        <w:rPr>
          <w:rFonts w:ascii="Times New Roman" w:eastAsia="Calibri" w:hAnsi="Times New Roman" w:cs="Times New Roman"/>
          <w:iCs/>
          <w:sz w:val="24"/>
          <w:szCs w:val="24"/>
        </w:rPr>
        <w:t>Въз основа на прегледа на НСРР 2012 -2022 г. се констатира, че заложените цели и приоритети в стратегическата рамка и системата за наблюдение и оценка  са актуални към момента и не се налага преформулиране или актуализация. По отношение на общата оценка на необходимите ресурси за постигане на целите на стратегията се счита, че публичните средства са разчетени в рамките на утвърдените разходни тавани на съответните отговорни бюджетни организации за периода 2017-2019 г. и са взети предвид при подготовката на бюджетните им прогнози за 2020 г.</w:t>
      </w:r>
    </w:p>
    <w:p w:rsidR="00026052" w:rsidRDefault="00026052" w:rsidP="00026052">
      <w:pPr>
        <w:tabs>
          <w:tab w:val="left" w:pos="709"/>
        </w:tabs>
        <w:spacing w:after="0" w:line="360" w:lineRule="auto"/>
        <w:jc w:val="both"/>
        <w:rPr>
          <w:rFonts w:ascii="Times New Roman" w:eastAsia="Calibri" w:hAnsi="Times New Roman" w:cs="Times New Roman"/>
          <w:iCs/>
          <w:sz w:val="24"/>
          <w:szCs w:val="24"/>
        </w:rPr>
      </w:pPr>
      <w:r w:rsidRPr="00026052">
        <w:rPr>
          <w:rFonts w:ascii="Times New Roman" w:eastAsia="Calibri" w:hAnsi="Times New Roman" w:cs="Times New Roman"/>
          <w:iCs/>
          <w:sz w:val="24"/>
          <w:szCs w:val="24"/>
        </w:rPr>
        <w:tab/>
        <w:t xml:space="preserve">Актуализация на НСРР 2012-2022 г. не се налага и поради факта, че в Националната програма за реформи и Конвергентната програма на Република България </w:t>
      </w:r>
      <w:r w:rsidRPr="00026052">
        <w:rPr>
          <w:rFonts w:ascii="Times New Roman" w:eastAsia="Calibri" w:hAnsi="Times New Roman" w:cs="Times New Roman"/>
          <w:iCs/>
          <w:sz w:val="24"/>
          <w:szCs w:val="24"/>
        </w:rPr>
        <w:lastRenderedPageBreak/>
        <w:t>не са отчетени съществени промени в макроикономическите и международните условия, както и поради факта, че няма настъпили съществени промени в свързаното национално законодател</w:t>
      </w:r>
      <w:r w:rsidR="00355605">
        <w:rPr>
          <w:rFonts w:ascii="Times New Roman" w:eastAsia="Calibri" w:hAnsi="Times New Roman" w:cs="Times New Roman"/>
          <w:iCs/>
          <w:sz w:val="24"/>
          <w:szCs w:val="24"/>
        </w:rPr>
        <w:t xml:space="preserve">ство, </w:t>
      </w:r>
      <w:r w:rsidR="007049EA">
        <w:rPr>
          <w:rFonts w:ascii="Times New Roman" w:eastAsia="Calibri" w:hAnsi="Times New Roman" w:cs="Times New Roman"/>
          <w:iCs/>
          <w:sz w:val="24"/>
          <w:szCs w:val="24"/>
        </w:rPr>
        <w:t xml:space="preserve"> законодателството на ЕС</w:t>
      </w:r>
      <w:r w:rsidRPr="00026052">
        <w:rPr>
          <w:rFonts w:ascii="Times New Roman" w:eastAsia="Calibri" w:hAnsi="Times New Roman" w:cs="Times New Roman"/>
          <w:iCs/>
          <w:sz w:val="24"/>
          <w:szCs w:val="24"/>
        </w:rPr>
        <w:t xml:space="preserve"> или промени на приоритетите и специфичните цели на ЕС </w:t>
      </w:r>
      <w:r w:rsidR="007049EA">
        <w:rPr>
          <w:rFonts w:ascii="Times New Roman" w:eastAsia="Calibri" w:hAnsi="Times New Roman" w:cs="Times New Roman"/>
          <w:iCs/>
          <w:sz w:val="24"/>
          <w:szCs w:val="24"/>
        </w:rPr>
        <w:t xml:space="preserve">в областта на регионалната политика </w:t>
      </w:r>
      <w:r w:rsidRPr="00026052">
        <w:rPr>
          <w:rFonts w:ascii="Times New Roman" w:eastAsia="Calibri" w:hAnsi="Times New Roman" w:cs="Times New Roman"/>
          <w:iCs/>
          <w:sz w:val="24"/>
          <w:szCs w:val="24"/>
        </w:rPr>
        <w:t xml:space="preserve">към настоящия момент. </w:t>
      </w:r>
    </w:p>
    <w:p w:rsidR="007066D9" w:rsidRPr="00026052" w:rsidRDefault="007066D9" w:rsidP="00026052">
      <w:pPr>
        <w:tabs>
          <w:tab w:val="left" w:pos="709"/>
        </w:tabs>
        <w:spacing w:after="0" w:line="360" w:lineRule="auto"/>
        <w:jc w:val="both"/>
        <w:rPr>
          <w:rFonts w:ascii="Times New Roman" w:eastAsia="Calibri" w:hAnsi="Times New Roman" w:cs="Times New Roman"/>
          <w:iCs/>
          <w:sz w:val="24"/>
          <w:szCs w:val="24"/>
        </w:rPr>
      </w:pPr>
    </w:p>
    <w:p w:rsidR="007066D9" w:rsidRPr="007066D9" w:rsidRDefault="007066D9" w:rsidP="007066D9">
      <w:pPr>
        <w:spacing w:line="360" w:lineRule="auto"/>
        <w:contextualSpacing/>
        <w:jc w:val="both"/>
        <w:rPr>
          <w:rFonts w:ascii="Times New Roman" w:eastAsia="Calibri" w:hAnsi="Times New Roman" w:cs="Times New Roman"/>
          <w:iCs/>
          <w:sz w:val="24"/>
          <w:szCs w:val="24"/>
        </w:rPr>
      </w:pPr>
      <w:r w:rsidRPr="007066D9">
        <w:rPr>
          <w:rFonts w:ascii="Times New Roman" w:eastAsia="Calibri" w:hAnsi="Times New Roman" w:cs="Times New Roman"/>
          <w:iCs/>
          <w:sz w:val="24"/>
          <w:szCs w:val="24"/>
        </w:rPr>
        <w:t xml:space="preserve"> </w:t>
      </w:r>
    </w:p>
    <w:p w:rsidR="00DD5593" w:rsidRPr="00F31A3C" w:rsidRDefault="00DD5593" w:rsidP="00026052">
      <w:pPr>
        <w:spacing w:after="0" w:line="360" w:lineRule="auto"/>
        <w:ind w:firstLine="708"/>
        <w:jc w:val="both"/>
        <w:rPr>
          <w:rFonts w:ascii="Times New Roman" w:eastAsia="Calibri" w:hAnsi="Times New Roman" w:cs="Times New Roman"/>
          <w:iCs/>
          <w:sz w:val="24"/>
          <w:szCs w:val="24"/>
        </w:rPr>
      </w:pPr>
    </w:p>
    <w:sectPr w:rsidR="00DD5593" w:rsidRPr="00F31A3C" w:rsidSect="00615F64">
      <w:footerReference w:type="default" r:id="rId15"/>
      <w:footerReference w:type="first" r:id="rId16"/>
      <w:pgSz w:w="11906" w:h="16838"/>
      <w:pgMar w:top="1134"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496" w:rsidRDefault="001B1496" w:rsidP="00A12B60">
      <w:pPr>
        <w:spacing w:after="0" w:line="240" w:lineRule="auto"/>
      </w:pPr>
      <w:r>
        <w:separator/>
      </w:r>
    </w:p>
  </w:endnote>
  <w:endnote w:type="continuationSeparator" w:id="0">
    <w:p w:rsidR="001B1496" w:rsidRDefault="001B1496" w:rsidP="00A12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280093"/>
      <w:docPartObj>
        <w:docPartGallery w:val="Page Numbers (Bottom of Page)"/>
        <w:docPartUnique/>
      </w:docPartObj>
    </w:sdtPr>
    <w:sdtEndPr>
      <w:rPr>
        <w:noProof/>
      </w:rPr>
    </w:sdtEndPr>
    <w:sdtContent>
      <w:p w:rsidR="007578C2" w:rsidRDefault="007578C2">
        <w:pPr>
          <w:pStyle w:val="Footer"/>
          <w:jc w:val="right"/>
        </w:pPr>
        <w:r>
          <w:fldChar w:fldCharType="begin"/>
        </w:r>
        <w:r>
          <w:instrText xml:space="preserve"> PAGE   \* MERGEFORMAT </w:instrText>
        </w:r>
        <w:r>
          <w:fldChar w:fldCharType="separate"/>
        </w:r>
        <w:r w:rsidR="002A7762">
          <w:rPr>
            <w:noProof/>
          </w:rPr>
          <w:t>1</w:t>
        </w:r>
        <w:r>
          <w:rPr>
            <w:noProof/>
          </w:rPr>
          <w:fldChar w:fldCharType="end"/>
        </w:r>
      </w:p>
    </w:sdtContent>
  </w:sdt>
  <w:p w:rsidR="007578C2" w:rsidRDefault="00757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8C2" w:rsidRDefault="007578C2">
    <w:pPr>
      <w:pStyle w:val="Footer"/>
      <w:jc w:val="right"/>
    </w:pPr>
  </w:p>
  <w:p w:rsidR="007578C2" w:rsidRDefault="00757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496" w:rsidRDefault="001B1496" w:rsidP="00A12B60">
      <w:pPr>
        <w:spacing w:after="0" w:line="240" w:lineRule="auto"/>
      </w:pPr>
      <w:r>
        <w:separator/>
      </w:r>
    </w:p>
  </w:footnote>
  <w:footnote w:type="continuationSeparator" w:id="0">
    <w:p w:rsidR="001B1496" w:rsidRDefault="001B1496" w:rsidP="00A12B60">
      <w:pPr>
        <w:spacing w:after="0" w:line="240" w:lineRule="auto"/>
      </w:pPr>
      <w:r>
        <w:continuationSeparator/>
      </w:r>
    </w:p>
  </w:footnote>
  <w:footnote w:id="1">
    <w:p w:rsidR="007578C2" w:rsidRPr="001E06AB" w:rsidRDefault="007578C2" w:rsidP="00FE121C">
      <w:pPr>
        <w:pStyle w:val="NoSpacing"/>
        <w:ind w:left="284" w:hanging="142"/>
        <w:rPr>
          <w:rFonts w:ascii="Times New Roman" w:hAnsi="Times New Roman" w:cs="Times New Roman"/>
          <w:sz w:val="20"/>
          <w:szCs w:val="20"/>
          <w:lang w:val="bg-BG"/>
        </w:rPr>
      </w:pPr>
      <w:r w:rsidRPr="001E06AB">
        <w:rPr>
          <w:rStyle w:val="FootnoteReference"/>
          <w:rFonts w:ascii="Times New Roman" w:hAnsi="Times New Roman" w:cs="Times New Roman"/>
          <w:sz w:val="20"/>
          <w:szCs w:val="20"/>
          <w:lang w:val="bg-BG"/>
        </w:rPr>
        <w:footnoteRef/>
      </w:r>
      <w:r w:rsidRPr="001E06AB">
        <w:rPr>
          <w:rFonts w:ascii="Times New Roman" w:hAnsi="Times New Roman" w:cs="Times New Roman"/>
          <w:sz w:val="20"/>
          <w:szCs w:val="20"/>
          <w:lang w:val="bg-BG"/>
        </w:rPr>
        <w:t xml:space="preserve"> Регионални планове за развитие 2007-2013 г., областни стратегии за развитие 2005-2015 г., общински планове за развитие 2007-2013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07693"/>
    <w:multiLevelType w:val="multilevel"/>
    <w:tmpl w:val="6C44CA4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CDB1658"/>
    <w:multiLevelType w:val="hybridMultilevel"/>
    <w:tmpl w:val="51A8F0A6"/>
    <w:lvl w:ilvl="0" w:tplc="AAC86B28">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D5D0F5D"/>
    <w:multiLevelType w:val="multilevel"/>
    <w:tmpl w:val="AE5C73C8"/>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55653AF3"/>
    <w:multiLevelType w:val="hybridMultilevel"/>
    <w:tmpl w:val="6AA0D6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56287EC1"/>
    <w:multiLevelType w:val="hybridMultilevel"/>
    <w:tmpl w:val="E80214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64DA48F9"/>
    <w:multiLevelType w:val="hybridMultilevel"/>
    <w:tmpl w:val="5F1877D2"/>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6">
    <w:nsid w:val="798114CF"/>
    <w:multiLevelType w:val="hybridMultilevel"/>
    <w:tmpl w:val="49B627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93"/>
    <w:rsid w:val="00026052"/>
    <w:rsid w:val="00027A97"/>
    <w:rsid w:val="0003793C"/>
    <w:rsid w:val="00047534"/>
    <w:rsid w:val="000554E4"/>
    <w:rsid w:val="00060EFD"/>
    <w:rsid w:val="00075AAF"/>
    <w:rsid w:val="0007643F"/>
    <w:rsid w:val="00081B78"/>
    <w:rsid w:val="000856AA"/>
    <w:rsid w:val="00086219"/>
    <w:rsid w:val="0009776C"/>
    <w:rsid w:val="000A27A6"/>
    <w:rsid w:val="000A5CC0"/>
    <w:rsid w:val="000B071B"/>
    <w:rsid w:val="000B092A"/>
    <w:rsid w:val="000B0EA3"/>
    <w:rsid w:val="000B1A32"/>
    <w:rsid w:val="000B3B22"/>
    <w:rsid w:val="000B401E"/>
    <w:rsid w:val="000B42BF"/>
    <w:rsid w:val="000C3BEB"/>
    <w:rsid w:val="000C6148"/>
    <w:rsid w:val="000D0DDB"/>
    <w:rsid w:val="000D4F78"/>
    <w:rsid w:val="000D552F"/>
    <w:rsid w:val="000D5B87"/>
    <w:rsid w:val="000E1A44"/>
    <w:rsid w:val="000E59C3"/>
    <w:rsid w:val="000F135B"/>
    <w:rsid w:val="000F2707"/>
    <w:rsid w:val="000F3993"/>
    <w:rsid w:val="00111AEE"/>
    <w:rsid w:val="00115566"/>
    <w:rsid w:val="0012615E"/>
    <w:rsid w:val="00136D62"/>
    <w:rsid w:val="0014510C"/>
    <w:rsid w:val="00156A15"/>
    <w:rsid w:val="00161544"/>
    <w:rsid w:val="00161885"/>
    <w:rsid w:val="00162351"/>
    <w:rsid w:val="001719D6"/>
    <w:rsid w:val="00173A72"/>
    <w:rsid w:val="00174826"/>
    <w:rsid w:val="00176DB5"/>
    <w:rsid w:val="00177123"/>
    <w:rsid w:val="00183432"/>
    <w:rsid w:val="00183EB5"/>
    <w:rsid w:val="00187D73"/>
    <w:rsid w:val="00191C1C"/>
    <w:rsid w:val="001933C2"/>
    <w:rsid w:val="001B1496"/>
    <w:rsid w:val="001B47B0"/>
    <w:rsid w:val="001B61DC"/>
    <w:rsid w:val="001C2177"/>
    <w:rsid w:val="001C34A9"/>
    <w:rsid w:val="001E0DA2"/>
    <w:rsid w:val="001E53C5"/>
    <w:rsid w:val="00203815"/>
    <w:rsid w:val="002044F9"/>
    <w:rsid w:val="0020521B"/>
    <w:rsid w:val="00207A38"/>
    <w:rsid w:val="002133CF"/>
    <w:rsid w:val="00217BF1"/>
    <w:rsid w:val="0022119E"/>
    <w:rsid w:val="00222243"/>
    <w:rsid w:val="00223E13"/>
    <w:rsid w:val="0023177C"/>
    <w:rsid w:val="002321FA"/>
    <w:rsid w:val="002324EE"/>
    <w:rsid w:val="0023466B"/>
    <w:rsid w:val="00235D02"/>
    <w:rsid w:val="00247696"/>
    <w:rsid w:val="0025387F"/>
    <w:rsid w:val="00254A2B"/>
    <w:rsid w:val="002674AE"/>
    <w:rsid w:val="002731A1"/>
    <w:rsid w:val="002735A3"/>
    <w:rsid w:val="0028074E"/>
    <w:rsid w:val="0028487C"/>
    <w:rsid w:val="00291620"/>
    <w:rsid w:val="002922EF"/>
    <w:rsid w:val="00292C45"/>
    <w:rsid w:val="002941E4"/>
    <w:rsid w:val="002A7762"/>
    <w:rsid w:val="002B0337"/>
    <w:rsid w:val="002B2517"/>
    <w:rsid w:val="002C5172"/>
    <w:rsid w:val="002C6CE6"/>
    <w:rsid w:val="002C76B2"/>
    <w:rsid w:val="002D5D65"/>
    <w:rsid w:val="002F1F54"/>
    <w:rsid w:val="002F7BD5"/>
    <w:rsid w:val="0030416B"/>
    <w:rsid w:val="003075BE"/>
    <w:rsid w:val="0031649A"/>
    <w:rsid w:val="00316BEA"/>
    <w:rsid w:val="003178D0"/>
    <w:rsid w:val="0032286D"/>
    <w:rsid w:val="003317D2"/>
    <w:rsid w:val="00342EED"/>
    <w:rsid w:val="00352808"/>
    <w:rsid w:val="0035383E"/>
    <w:rsid w:val="00353AB7"/>
    <w:rsid w:val="00355605"/>
    <w:rsid w:val="00361411"/>
    <w:rsid w:val="00361C7C"/>
    <w:rsid w:val="0036748B"/>
    <w:rsid w:val="00372ECB"/>
    <w:rsid w:val="00376DD3"/>
    <w:rsid w:val="003816F8"/>
    <w:rsid w:val="00390261"/>
    <w:rsid w:val="00393227"/>
    <w:rsid w:val="0039565C"/>
    <w:rsid w:val="00396A7A"/>
    <w:rsid w:val="003A3C47"/>
    <w:rsid w:val="003B09BA"/>
    <w:rsid w:val="003B0F98"/>
    <w:rsid w:val="003B79D9"/>
    <w:rsid w:val="003C0021"/>
    <w:rsid w:val="003C771D"/>
    <w:rsid w:val="003D6983"/>
    <w:rsid w:val="003E1A0F"/>
    <w:rsid w:val="003F2198"/>
    <w:rsid w:val="003F2FDA"/>
    <w:rsid w:val="003F7B51"/>
    <w:rsid w:val="00403AD9"/>
    <w:rsid w:val="00403C34"/>
    <w:rsid w:val="004077FD"/>
    <w:rsid w:val="00410798"/>
    <w:rsid w:val="00411EE2"/>
    <w:rsid w:val="004147E9"/>
    <w:rsid w:val="00422C08"/>
    <w:rsid w:val="00422ECC"/>
    <w:rsid w:val="0042329F"/>
    <w:rsid w:val="004240B8"/>
    <w:rsid w:val="0042557A"/>
    <w:rsid w:val="004355B5"/>
    <w:rsid w:val="00440201"/>
    <w:rsid w:val="00445300"/>
    <w:rsid w:val="004505EE"/>
    <w:rsid w:val="004515D9"/>
    <w:rsid w:val="00454807"/>
    <w:rsid w:val="004564F6"/>
    <w:rsid w:val="00470D7C"/>
    <w:rsid w:val="004710A8"/>
    <w:rsid w:val="00477F83"/>
    <w:rsid w:val="004968F6"/>
    <w:rsid w:val="004A12ED"/>
    <w:rsid w:val="004B7667"/>
    <w:rsid w:val="004C3CC0"/>
    <w:rsid w:val="004D0C92"/>
    <w:rsid w:val="004D3347"/>
    <w:rsid w:val="004E6495"/>
    <w:rsid w:val="004F0D04"/>
    <w:rsid w:val="004F0F31"/>
    <w:rsid w:val="0050735E"/>
    <w:rsid w:val="00525445"/>
    <w:rsid w:val="005259CE"/>
    <w:rsid w:val="00531D5E"/>
    <w:rsid w:val="005362DE"/>
    <w:rsid w:val="00553E77"/>
    <w:rsid w:val="00563EF6"/>
    <w:rsid w:val="00566448"/>
    <w:rsid w:val="00590780"/>
    <w:rsid w:val="00592A54"/>
    <w:rsid w:val="0059370D"/>
    <w:rsid w:val="00594BB0"/>
    <w:rsid w:val="005A00AB"/>
    <w:rsid w:val="005A2F38"/>
    <w:rsid w:val="005B0B45"/>
    <w:rsid w:val="005B0C6D"/>
    <w:rsid w:val="005B2A6B"/>
    <w:rsid w:val="005B2B23"/>
    <w:rsid w:val="005B35E9"/>
    <w:rsid w:val="005B5973"/>
    <w:rsid w:val="005B5D50"/>
    <w:rsid w:val="005B7995"/>
    <w:rsid w:val="005D0B49"/>
    <w:rsid w:val="005D2C47"/>
    <w:rsid w:val="005F04B3"/>
    <w:rsid w:val="005F061A"/>
    <w:rsid w:val="005F1AEA"/>
    <w:rsid w:val="005F782C"/>
    <w:rsid w:val="0060279E"/>
    <w:rsid w:val="00615F64"/>
    <w:rsid w:val="006163F9"/>
    <w:rsid w:val="00627ED4"/>
    <w:rsid w:val="00633771"/>
    <w:rsid w:val="0064308D"/>
    <w:rsid w:val="0064777A"/>
    <w:rsid w:val="0065250B"/>
    <w:rsid w:val="00655847"/>
    <w:rsid w:val="00660A43"/>
    <w:rsid w:val="00661513"/>
    <w:rsid w:val="00675ED0"/>
    <w:rsid w:val="006833B0"/>
    <w:rsid w:val="00684625"/>
    <w:rsid w:val="00687723"/>
    <w:rsid w:val="0069312D"/>
    <w:rsid w:val="00694EFD"/>
    <w:rsid w:val="0069609A"/>
    <w:rsid w:val="006A0298"/>
    <w:rsid w:val="006A1067"/>
    <w:rsid w:val="006A47AD"/>
    <w:rsid w:val="006B045F"/>
    <w:rsid w:val="006B3AF1"/>
    <w:rsid w:val="006B5340"/>
    <w:rsid w:val="006D055A"/>
    <w:rsid w:val="006D5FF7"/>
    <w:rsid w:val="006D6880"/>
    <w:rsid w:val="006E1E97"/>
    <w:rsid w:val="00702EE6"/>
    <w:rsid w:val="007049EA"/>
    <w:rsid w:val="007066D9"/>
    <w:rsid w:val="00706C7D"/>
    <w:rsid w:val="007165FE"/>
    <w:rsid w:val="00717F4E"/>
    <w:rsid w:val="007351A1"/>
    <w:rsid w:val="007375A8"/>
    <w:rsid w:val="00756B2A"/>
    <w:rsid w:val="007578C2"/>
    <w:rsid w:val="00760722"/>
    <w:rsid w:val="00763474"/>
    <w:rsid w:val="00772DED"/>
    <w:rsid w:val="00780CF4"/>
    <w:rsid w:val="00783E03"/>
    <w:rsid w:val="00784238"/>
    <w:rsid w:val="007913F8"/>
    <w:rsid w:val="007A0236"/>
    <w:rsid w:val="007A0407"/>
    <w:rsid w:val="007B1356"/>
    <w:rsid w:val="007B4DE4"/>
    <w:rsid w:val="007C2CEA"/>
    <w:rsid w:val="007C4B8F"/>
    <w:rsid w:val="007C4D02"/>
    <w:rsid w:val="007D2011"/>
    <w:rsid w:val="007E034C"/>
    <w:rsid w:val="007E5624"/>
    <w:rsid w:val="007E6478"/>
    <w:rsid w:val="007F07B2"/>
    <w:rsid w:val="007F33ED"/>
    <w:rsid w:val="007F4F0F"/>
    <w:rsid w:val="00800F6A"/>
    <w:rsid w:val="0081064D"/>
    <w:rsid w:val="00815555"/>
    <w:rsid w:val="00815994"/>
    <w:rsid w:val="008234F7"/>
    <w:rsid w:val="0083122E"/>
    <w:rsid w:val="00831F65"/>
    <w:rsid w:val="00841721"/>
    <w:rsid w:val="0085113D"/>
    <w:rsid w:val="00867397"/>
    <w:rsid w:val="008816D8"/>
    <w:rsid w:val="0089414D"/>
    <w:rsid w:val="008A1A06"/>
    <w:rsid w:val="008A29DF"/>
    <w:rsid w:val="008B6EE0"/>
    <w:rsid w:val="008C1413"/>
    <w:rsid w:val="008C61C5"/>
    <w:rsid w:val="008C6E1A"/>
    <w:rsid w:val="008D1984"/>
    <w:rsid w:val="008D5CD5"/>
    <w:rsid w:val="008E65F2"/>
    <w:rsid w:val="008F0508"/>
    <w:rsid w:val="008F1208"/>
    <w:rsid w:val="008F1864"/>
    <w:rsid w:val="0090102C"/>
    <w:rsid w:val="00901A5F"/>
    <w:rsid w:val="0090695F"/>
    <w:rsid w:val="0090721F"/>
    <w:rsid w:val="00915906"/>
    <w:rsid w:val="0091593D"/>
    <w:rsid w:val="009205CD"/>
    <w:rsid w:val="00934B24"/>
    <w:rsid w:val="009359EC"/>
    <w:rsid w:val="00953172"/>
    <w:rsid w:val="0095562F"/>
    <w:rsid w:val="00955C29"/>
    <w:rsid w:val="00967AF5"/>
    <w:rsid w:val="00970B9F"/>
    <w:rsid w:val="00972428"/>
    <w:rsid w:val="0099050E"/>
    <w:rsid w:val="00995587"/>
    <w:rsid w:val="009A2E7A"/>
    <w:rsid w:val="009A422F"/>
    <w:rsid w:val="009B1341"/>
    <w:rsid w:val="009C10E9"/>
    <w:rsid w:val="009D15F4"/>
    <w:rsid w:val="009D30AD"/>
    <w:rsid w:val="009D5B7D"/>
    <w:rsid w:val="009E1E7A"/>
    <w:rsid w:val="009E3F05"/>
    <w:rsid w:val="009E63F9"/>
    <w:rsid w:val="009F2B38"/>
    <w:rsid w:val="009F6248"/>
    <w:rsid w:val="00A0011B"/>
    <w:rsid w:val="00A01B7F"/>
    <w:rsid w:val="00A05294"/>
    <w:rsid w:val="00A1235F"/>
    <w:rsid w:val="00A12B60"/>
    <w:rsid w:val="00A12EA1"/>
    <w:rsid w:val="00A1549A"/>
    <w:rsid w:val="00A1664F"/>
    <w:rsid w:val="00A17A69"/>
    <w:rsid w:val="00A209EE"/>
    <w:rsid w:val="00A6053C"/>
    <w:rsid w:val="00A62C6F"/>
    <w:rsid w:val="00A80A13"/>
    <w:rsid w:val="00A820B1"/>
    <w:rsid w:val="00A843CC"/>
    <w:rsid w:val="00AA2F8E"/>
    <w:rsid w:val="00AA47FD"/>
    <w:rsid w:val="00AA4984"/>
    <w:rsid w:val="00AA7989"/>
    <w:rsid w:val="00AB5903"/>
    <w:rsid w:val="00AC0C9B"/>
    <w:rsid w:val="00AC2091"/>
    <w:rsid w:val="00AC5266"/>
    <w:rsid w:val="00AD3077"/>
    <w:rsid w:val="00AD479B"/>
    <w:rsid w:val="00AD4B92"/>
    <w:rsid w:val="00AE0FAB"/>
    <w:rsid w:val="00AE5BDA"/>
    <w:rsid w:val="00AE6241"/>
    <w:rsid w:val="00AE6EB6"/>
    <w:rsid w:val="00AF21DD"/>
    <w:rsid w:val="00AF6528"/>
    <w:rsid w:val="00AF780C"/>
    <w:rsid w:val="00B074D3"/>
    <w:rsid w:val="00B22415"/>
    <w:rsid w:val="00B25703"/>
    <w:rsid w:val="00B40CFB"/>
    <w:rsid w:val="00B41EC9"/>
    <w:rsid w:val="00B43E0C"/>
    <w:rsid w:val="00B47379"/>
    <w:rsid w:val="00B47E55"/>
    <w:rsid w:val="00B566D4"/>
    <w:rsid w:val="00B7074B"/>
    <w:rsid w:val="00B77151"/>
    <w:rsid w:val="00B77D65"/>
    <w:rsid w:val="00B851EE"/>
    <w:rsid w:val="00B87F33"/>
    <w:rsid w:val="00B91D58"/>
    <w:rsid w:val="00B93F78"/>
    <w:rsid w:val="00BB56BA"/>
    <w:rsid w:val="00BB5BE5"/>
    <w:rsid w:val="00BB6EA6"/>
    <w:rsid w:val="00BD1B7E"/>
    <w:rsid w:val="00BD3B42"/>
    <w:rsid w:val="00BD53E3"/>
    <w:rsid w:val="00BD6186"/>
    <w:rsid w:val="00BE29A4"/>
    <w:rsid w:val="00BF44EF"/>
    <w:rsid w:val="00C03B08"/>
    <w:rsid w:val="00C07B23"/>
    <w:rsid w:val="00C11FB3"/>
    <w:rsid w:val="00C14217"/>
    <w:rsid w:val="00C14278"/>
    <w:rsid w:val="00C2639A"/>
    <w:rsid w:val="00C3138E"/>
    <w:rsid w:val="00C34495"/>
    <w:rsid w:val="00C34DFE"/>
    <w:rsid w:val="00C370A7"/>
    <w:rsid w:val="00C41BBD"/>
    <w:rsid w:val="00C43687"/>
    <w:rsid w:val="00C466F9"/>
    <w:rsid w:val="00C63650"/>
    <w:rsid w:val="00C706D7"/>
    <w:rsid w:val="00C7495D"/>
    <w:rsid w:val="00C761F3"/>
    <w:rsid w:val="00C802AB"/>
    <w:rsid w:val="00C81726"/>
    <w:rsid w:val="00C83170"/>
    <w:rsid w:val="00C832B1"/>
    <w:rsid w:val="00C965D0"/>
    <w:rsid w:val="00CA073D"/>
    <w:rsid w:val="00CA16ED"/>
    <w:rsid w:val="00CA6D09"/>
    <w:rsid w:val="00CB1830"/>
    <w:rsid w:val="00CB22F5"/>
    <w:rsid w:val="00CB6931"/>
    <w:rsid w:val="00CC01CD"/>
    <w:rsid w:val="00CC42C3"/>
    <w:rsid w:val="00CE2B22"/>
    <w:rsid w:val="00CF3709"/>
    <w:rsid w:val="00CF3B91"/>
    <w:rsid w:val="00D00C0B"/>
    <w:rsid w:val="00D02D94"/>
    <w:rsid w:val="00D11F7D"/>
    <w:rsid w:val="00D13A2F"/>
    <w:rsid w:val="00D17909"/>
    <w:rsid w:val="00D223E2"/>
    <w:rsid w:val="00D45DDD"/>
    <w:rsid w:val="00D5393B"/>
    <w:rsid w:val="00D568EC"/>
    <w:rsid w:val="00D6178B"/>
    <w:rsid w:val="00D62EA2"/>
    <w:rsid w:val="00D64176"/>
    <w:rsid w:val="00D66DDF"/>
    <w:rsid w:val="00D71498"/>
    <w:rsid w:val="00D72F11"/>
    <w:rsid w:val="00D73CC1"/>
    <w:rsid w:val="00D77969"/>
    <w:rsid w:val="00D9385D"/>
    <w:rsid w:val="00DB078E"/>
    <w:rsid w:val="00DB7031"/>
    <w:rsid w:val="00DC067E"/>
    <w:rsid w:val="00DD1948"/>
    <w:rsid w:val="00DD478F"/>
    <w:rsid w:val="00DD5410"/>
    <w:rsid w:val="00DD5593"/>
    <w:rsid w:val="00DF04EC"/>
    <w:rsid w:val="00DF0E52"/>
    <w:rsid w:val="00E106A7"/>
    <w:rsid w:val="00E107CD"/>
    <w:rsid w:val="00E10A2A"/>
    <w:rsid w:val="00E13FFF"/>
    <w:rsid w:val="00E20B27"/>
    <w:rsid w:val="00E24AF7"/>
    <w:rsid w:val="00E35870"/>
    <w:rsid w:val="00E413F3"/>
    <w:rsid w:val="00E57D8A"/>
    <w:rsid w:val="00E62829"/>
    <w:rsid w:val="00E821D0"/>
    <w:rsid w:val="00E8457B"/>
    <w:rsid w:val="00E90020"/>
    <w:rsid w:val="00E9025A"/>
    <w:rsid w:val="00EA28F9"/>
    <w:rsid w:val="00EA389E"/>
    <w:rsid w:val="00EB6F28"/>
    <w:rsid w:val="00EC33F3"/>
    <w:rsid w:val="00EC5815"/>
    <w:rsid w:val="00EC5AF3"/>
    <w:rsid w:val="00EC772A"/>
    <w:rsid w:val="00ED0857"/>
    <w:rsid w:val="00EE4DFD"/>
    <w:rsid w:val="00EE632A"/>
    <w:rsid w:val="00EE7994"/>
    <w:rsid w:val="00EF3968"/>
    <w:rsid w:val="00F06CA6"/>
    <w:rsid w:val="00F27E15"/>
    <w:rsid w:val="00F31A3C"/>
    <w:rsid w:val="00F354E7"/>
    <w:rsid w:val="00F402EC"/>
    <w:rsid w:val="00F46935"/>
    <w:rsid w:val="00F513C2"/>
    <w:rsid w:val="00F52A0A"/>
    <w:rsid w:val="00F62293"/>
    <w:rsid w:val="00F6514D"/>
    <w:rsid w:val="00F67CC4"/>
    <w:rsid w:val="00F70D0C"/>
    <w:rsid w:val="00F7122D"/>
    <w:rsid w:val="00F73B67"/>
    <w:rsid w:val="00F77C41"/>
    <w:rsid w:val="00F86602"/>
    <w:rsid w:val="00FA5D15"/>
    <w:rsid w:val="00FB5667"/>
    <w:rsid w:val="00FD001E"/>
    <w:rsid w:val="00FD1A13"/>
    <w:rsid w:val="00FD2452"/>
    <w:rsid w:val="00FE121C"/>
    <w:rsid w:val="00FE625B"/>
    <w:rsid w:val="00FF0586"/>
    <w:rsid w:val="00FF19C5"/>
    <w:rsid w:val="00FF7B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0E52"/>
    <w:pPr>
      <w:keepNext/>
      <w:keepLines/>
      <w:spacing w:before="480" w:after="0"/>
      <w:outlineLvl w:val="0"/>
    </w:pPr>
    <w:rPr>
      <w:rFonts w:ascii="Times New Roman" w:eastAsiaTheme="majorEastAsia" w:hAnsi="Times New Roman" w:cstheme="majorBidi"/>
      <w:b/>
      <w:bCs/>
      <w:color w:val="2E74B5" w:themeColor="accent1" w:themeShade="BF"/>
      <w:sz w:val="24"/>
      <w:szCs w:val="28"/>
    </w:rPr>
  </w:style>
  <w:style w:type="paragraph" w:styleId="Heading2">
    <w:name w:val="heading 2"/>
    <w:basedOn w:val="Normal"/>
    <w:next w:val="Normal"/>
    <w:link w:val="Heading2Char"/>
    <w:uiPriority w:val="9"/>
    <w:unhideWhenUsed/>
    <w:qFormat/>
    <w:rsid w:val="000554E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E53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Shading1-Accent11">
    <w:name w:val="Medium Shading 1 - Accent 11"/>
    <w:basedOn w:val="TableNormal"/>
    <w:next w:val="MediumShading1-Accent1"/>
    <w:uiPriority w:val="63"/>
    <w:rsid w:val="00BB6EA6"/>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BB6EA6"/>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GridTable4-Accent11">
    <w:name w:val="Grid Table 4 - Accent 11"/>
    <w:basedOn w:val="TableNormal"/>
    <w:uiPriority w:val="49"/>
    <w:rsid w:val="00445300"/>
    <w:pPr>
      <w:spacing w:after="0" w:line="240" w:lineRule="auto"/>
    </w:pPr>
    <w:rPr>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NoList1">
    <w:name w:val="No List1"/>
    <w:next w:val="NoList"/>
    <w:uiPriority w:val="99"/>
    <w:semiHidden/>
    <w:unhideWhenUsed/>
    <w:rsid w:val="00F67CC4"/>
  </w:style>
  <w:style w:type="paragraph" w:styleId="ListParagraph">
    <w:name w:val="List Paragraph"/>
    <w:basedOn w:val="Normal"/>
    <w:uiPriority w:val="34"/>
    <w:qFormat/>
    <w:rsid w:val="00F67CC4"/>
    <w:pPr>
      <w:spacing w:after="200" w:line="276" w:lineRule="auto"/>
      <w:ind w:left="720"/>
      <w:contextualSpacing/>
    </w:pPr>
  </w:style>
  <w:style w:type="paragraph" w:customStyle="1" w:styleId="Default">
    <w:name w:val="Default"/>
    <w:rsid w:val="00F67C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igureTitle">
    <w:name w:val="FigureTitle"/>
    <w:basedOn w:val="Default"/>
    <w:next w:val="Default"/>
    <w:uiPriority w:val="99"/>
    <w:rsid w:val="00F67CC4"/>
    <w:rPr>
      <w:color w:val="auto"/>
    </w:rPr>
  </w:style>
  <w:style w:type="table" w:styleId="TableGrid">
    <w:name w:val="Table Grid"/>
    <w:basedOn w:val="TableNormal"/>
    <w:uiPriority w:val="59"/>
    <w:rsid w:val="00F67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 arial,Footnote Text Char Char Char Char,Footnote Text Char Char Char,single space, Car Car,stile 1,Footnote1,Footnote2,Footnote3,Footnote4,Footnote5,Footnote6,Footnote7,Footnote8,Footnote9,Footnote10,Footnote11,Footnote21,fn"/>
    <w:basedOn w:val="Normal"/>
    <w:link w:val="FootnoteTextChar"/>
    <w:uiPriority w:val="99"/>
    <w:rsid w:val="00F67CC4"/>
    <w:pPr>
      <w:spacing w:after="0" w:line="240" w:lineRule="auto"/>
    </w:pPr>
    <w:rPr>
      <w:rFonts w:ascii="Arial Narrow" w:eastAsia="Times New Roman" w:hAnsi="Arial Narrow" w:cs="Times New Roman"/>
      <w:sz w:val="20"/>
      <w:szCs w:val="20"/>
      <w:lang w:eastAsia="bg-BG"/>
    </w:rPr>
  </w:style>
  <w:style w:type="character" w:customStyle="1" w:styleId="FootnoteTextChar">
    <w:name w:val="Footnote Text Char"/>
    <w:aliases w:val="Fußnotentext arial Char,Footnote Text Char Char Char Char Char,Footnote Text Char Char Char Char1,single space Char, Car Car Char,stile 1 Char,Footnote1 Char,Footnote2 Char,Footnote3 Char,Footnote4 Char,Footnote5 Char,Footnote6 Char"/>
    <w:basedOn w:val="DefaultParagraphFont"/>
    <w:link w:val="FootnoteText"/>
    <w:uiPriority w:val="99"/>
    <w:rsid w:val="00F67CC4"/>
    <w:rPr>
      <w:rFonts w:ascii="Arial Narrow" w:eastAsia="Times New Roman" w:hAnsi="Arial Narrow" w:cs="Times New Roman"/>
      <w:sz w:val="20"/>
      <w:szCs w:val="20"/>
      <w:lang w:eastAsia="bg-BG"/>
    </w:rPr>
  </w:style>
  <w:style w:type="character" w:styleId="FootnoteReference">
    <w:name w:val="footnote reference"/>
    <w:aliases w:val="Footnote,Footnote symbol,Appel note de bas de p,SUPERS,Nota,(NECG) Footnote Reference,Voetnootverwijzing,ftref,BVI fnr,Footnote Reference Superscript,Lábjegyzet-hivatkozás,L?bjegyzet-hivatkoz?s,Char1 Char Char Char Char"/>
    <w:uiPriority w:val="99"/>
    <w:rsid w:val="00F67CC4"/>
    <w:rPr>
      <w:vertAlign w:val="superscript"/>
    </w:rPr>
  </w:style>
  <w:style w:type="paragraph" w:styleId="Caption">
    <w:name w:val="caption"/>
    <w:basedOn w:val="Normal"/>
    <w:next w:val="Normal"/>
    <w:qFormat/>
    <w:rsid w:val="00F67CC4"/>
    <w:pPr>
      <w:spacing w:after="0" w:line="240" w:lineRule="auto"/>
    </w:pPr>
    <w:rPr>
      <w:rFonts w:ascii="Times New Roman" w:eastAsia="Times New Roman" w:hAnsi="Times New Roman" w:cs="Times New Roman"/>
      <w:b/>
      <w:bCs/>
      <w:sz w:val="20"/>
      <w:szCs w:val="20"/>
      <w:lang w:eastAsia="bg-BG"/>
    </w:rPr>
  </w:style>
  <w:style w:type="paragraph" w:customStyle="1" w:styleId="a">
    <w:name w:val="Стил"/>
    <w:uiPriority w:val="99"/>
    <w:rsid w:val="00F67CC4"/>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F67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CC4"/>
    <w:rPr>
      <w:rFonts w:ascii="Tahoma" w:hAnsi="Tahoma" w:cs="Tahoma"/>
      <w:sz w:val="16"/>
      <w:szCs w:val="16"/>
    </w:rPr>
  </w:style>
  <w:style w:type="table" w:customStyle="1" w:styleId="MediumShading1-Accent12">
    <w:name w:val="Medium Shading 1 - Accent 12"/>
    <w:basedOn w:val="TableNormal"/>
    <w:next w:val="MediumShading1-Accent1"/>
    <w:uiPriority w:val="63"/>
    <w:rsid w:val="00A12B60"/>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eading3Char">
    <w:name w:val="Heading 3 Char"/>
    <w:basedOn w:val="DefaultParagraphFont"/>
    <w:link w:val="Heading3"/>
    <w:uiPriority w:val="9"/>
    <w:semiHidden/>
    <w:rsid w:val="001E53C5"/>
    <w:rPr>
      <w:rFonts w:asciiTheme="majorHAnsi" w:eastAsiaTheme="majorEastAsia" w:hAnsiTheme="majorHAnsi" w:cstheme="majorBidi"/>
      <w:color w:val="1F4D78" w:themeColor="accent1" w:themeShade="7F"/>
      <w:sz w:val="24"/>
      <w:szCs w:val="24"/>
    </w:rPr>
  </w:style>
  <w:style w:type="table" w:customStyle="1" w:styleId="GridTable4-Accent12">
    <w:name w:val="Grid Table 4 - Accent 12"/>
    <w:basedOn w:val="TableNormal"/>
    <w:uiPriority w:val="49"/>
    <w:rsid w:val="001E53C5"/>
    <w:pPr>
      <w:spacing w:after="0" w:line="240" w:lineRule="auto"/>
    </w:pPr>
    <w:rPr>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Heading3bold12pt">
    <w:name w:val="Heading 3 + bold 12pt"/>
    <w:aliases w:val="Times New Roman 12 pt Italic"/>
    <w:basedOn w:val="Heading3"/>
    <w:link w:val="Heading3bold12ptChar"/>
    <w:rsid w:val="001E53C5"/>
    <w:pPr>
      <w:keepLines w:val="0"/>
      <w:spacing w:before="240" w:after="60" w:line="240" w:lineRule="auto"/>
    </w:pPr>
    <w:rPr>
      <w:rFonts w:ascii="Times New Roman" w:eastAsia="Times New Roman" w:hAnsi="Times New Roman" w:cs="Arial"/>
      <w:b/>
      <w:bCs/>
      <w:iCs/>
      <w:color w:val="auto"/>
      <w:szCs w:val="26"/>
      <w:lang w:val="en-US"/>
    </w:rPr>
  </w:style>
  <w:style w:type="character" w:customStyle="1" w:styleId="Heading3bold12ptChar">
    <w:name w:val="Heading 3 + bold 12pt Char"/>
    <w:aliases w:val="Times New Roman 12 pt Italic Char"/>
    <w:link w:val="Heading3bold12pt"/>
    <w:rsid w:val="001E53C5"/>
    <w:rPr>
      <w:rFonts w:ascii="Times New Roman" w:eastAsia="Times New Roman" w:hAnsi="Times New Roman" w:cs="Arial"/>
      <w:b/>
      <w:bCs/>
      <w:iCs/>
      <w:sz w:val="24"/>
      <w:szCs w:val="26"/>
      <w:lang w:val="en-US"/>
    </w:rPr>
  </w:style>
  <w:style w:type="character" w:customStyle="1" w:styleId="Hyperlink1">
    <w:name w:val="Hyperlink1"/>
    <w:basedOn w:val="DefaultParagraphFont"/>
    <w:uiPriority w:val="99"/>
    <w:unhideWhenUsed/>
    <w:rsid w:val="001E53C5"/>
    <w:rPr>
      <w:color w:val="0000FF"/>
      <w:u w:val="single"/>
    </w:rPr>
  </w:style>
  <w:style w:type="table" w:customStyle="1" w:styleId="LightGrid-Accent11">
    <w:name w:val="Light Grid - Accent 11"/>
    <w:basedOn w:val="TableNormal"/>
    <w:next w:val="LightGrid-Accent1"/>
    <w:uiPriority w:val="62"/>
    <w:rsid w:val="001E53C5"/>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yperlink">
    <w:name w:val="Hyperlink"/>
    <w:basedOn w:val="DefaultParagraphFont"/>
    <w:uiPriority w:val="99"/>
    <w:unhideWhenUsed/>
    <w:rsid w:val="001E53C5"/>
    <w:rPr>
      <w:color w:val="0563C1" w:themeColor="hyperlink"/>
      <w:u w:val="single"/>
    </w:rPr>
  </w:style>
  <w:style w:type="table" w:styleId="LightGrid-Accent1">
    <w:name w:val="Light Grid Accent 1"/>
    <w:basedOn w:val="TableNormal"/>
    <w:uiPriority w:val="62"/>
    <w:semiHidden/>
    <w:unhideWhenUsed/>
    <w:rsid w:val="001E53C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Grid1">
    <w:name w:val="Table Grid1"/>
    <w:basedOn w:val="TableNormal"/>
    <w:next w:val="TableGrid"/>
    <w:uiPriority w:val="39"/>
    <w:rsid w:val="007E5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20">
    <w:name w:val="Grid Table 4 - Accent 12"/>
    <w:basedOn w:val="TableNormal"/>
    <w:next w:val="GridTable4-Accent12"/>
    <w:uiPriority w:val="49"/>
    <w:rsid w:val="00CE2B2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2">
    <w:name w:val="Table Grid2"/>
    <w:basedOn w:val="TableNormal"/>
    <w:next w:val="TableGrid"/>
    <w:uiPriority w:val="59"/>
    <w:rsid w:val="000D5B8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
    <w:name w:val="Medium Shading 1 - Accent 13"/>
    <w:basedOn w:val="TableNormal"/>
    <w:next w:val="MediumShading1-Accent1"/>
    <w:uiPriority w:val="63"/>
    <w:rsid w:val="00060EFD"/>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NoSpacing">
    <w:name w:val="No Spacing"/>
    <w:link w:val="NoSpacingChar"/>
    <w:uiPriority w:val="1"/>
    <w:qFormat/>
    <w:rsid w:val="009E63F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E63F9"/>
    <w:rPr>
      <w:rFonts w:eastAsiaTheme="minorEastAsia"/>
      <w:lang w:val="en-US"/>
    </w:rPr>
  </w:style>
  <w:style w:type="paragraph" w:styleId="Header">
    <w:name w:val="header"/>
    <w:basedOn w:val="Normal"/>
    <w:link w:val="HeaderChar"/>
    <w:uiPriority w:val="99"/>
    <w:unhideWhenUsed/>
    <w:rsid w:val="005B0C6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0C6D"/>
  </w:style>
  <w:style w:type="paragraph" w:styleId="Footer">
    <w:name w:val="footer"/>
    <w:basedOn w:val="Normal"/>
    <w:link w:val="FooterChar"/>
    <w:uiPriority w:val="99"/>
    <w:unhideWhenUsed/>
    <w:rsid w:val="005B0C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0C6D"/>
  </w:style>
  <w:style w:type="paragraph" w:styleId="TableofFigures">
    <w:name w:val="table of figures"/>
    <w:basedOn w:val="Normal"/>
    <w:next w:val="Normal"/>
    <w:uiPriority w:val="99"/>
    <w:unhideWhenUsed/>
    <w:rsid w:val="00633771"/>
    <w:pPr>
      <w:spacing w:after="0"/>
    </w:pPr>
  </w:style>
  <w:style w:type="character" w:customStyle="1" w:styleId="apple-converted-space">
    <w:name w:val="apple-converted-space"/>
    <w:basedOn w:val="DefaultParagraphFont"/>
    <w:rsid w:val="005362DE"/>
  </w:style>
  <w:style w:type="character" w:styleId="Emphasis">
    <w:name w:val="Emphasis"/>
    <w:basedOn w:val="DefaultParagraphFont"/>
    <w:uiPriority w:val="20"/>
    <w:qFormat/>
    <w:rsid w:val="005362DE"/>
    <w:rPr>
      <w:i/>
      <w:iCs/>
    </w:rPr>
  </w:style>
  <w:style w:type="character" w:customStyle="1" w:styleId="Heading1Char">
    <w:name w:val="Heading 1 Char"/>
    <w:basedOn w:val="DefaultParagraphFont"/>
    <w:link w:val="Heading1"/>
    <w:uiPriority w:val="9"/>
    <w:rsid w:val="00DF0E52"/>
    <w:rPr>
      <w:rFonts w:ascii="Times New Roman" w:eastAsiaTheme="majorEastAsia" w:hAnsi="Times New Roman" w:cstheme="majorBidi"/>
      <w:b/>
      <w:bCs/>
      <w:color w:val="2E74B5" w:themeColor="accent1" w:themeShade="BF"/>
      <w:sz w:val="24"/>
      <w:szCs w:val="28"/>
    </w:rPr>
  </w:style>
  <w:style w:type="character" w:customStyle="1" w:styleId="Heading2Char">
    <w:name w:val="Heading 2 Char"/>
    <w:basedOn w:val="DefaultParagraphFont"/>
    <w:link w:val="Heading2"/>
    <w:uiPriority w:val="9"/>
    <w:rsid w:val="000554E4"/>
    <w:rPr>
      <w:rFonts w:asciiTheme="majorHAnsi" w:eastAsiaTheme="majorEastAsia" w:hAnsiTheme="majorHAnsi" w:cstheme="majorBidi"/>
      <w:b/>
      <w:bCs/>
      <w:color w:val="5B9BD5" w:themeColor="accent1"/>
      <w:sz w:val="26"/>
      <w:szCs w:val="26"/>
    </w:rPr>
  </w:style>
  <w:style w:type="paragraph" w:styleId="TOC3">
    <w:name w:val="toc 3"/>
    <w:basedOn w:val="Normal"/>
    <w:next w:val="Normal"/>
    <w:autoRedefine/>
    <w:uiPriority w:val="39"/>
    <w:unhideWhenUsed/>
    <w:rsid w:val="00D73CC1"/>
    <w:pPr>
      <w:spacing w:after="100"/>
      <w:ind w:left="440"/>
    </w:pPr>
  </w:style>
  <w:style w:type="paragraph" w:styleId="TOC1">
    <w:name w:val="toc 1"/>
    <w:basedOn w:val="Normal"/>
    <w:next w:val="Normal"/>
    <w:autoRedefine/>
    <w:uiPriority w:val="39"/>
    <w:unhideWhenUsed/>
    <w:rsid w:val="0030416B"/>
    <w:pPr>
      <w:tabs>
        <w:tab w:val="left" w:pos="440"/>
        <w:tab w:val="right" w:leader="dot" w:pos="9062"/>
      </w:tabs>
      <w:spacing w:after="100"/>
      <w:jc w:val="both"/>
    </w:pPr>
    <w:rPr>
      <w:rFonts w:ascii="Times New Roman" w:hAnsi="Times New Roman" w:cs="Times New Roman"/>
      <w:b/>
      <w:noProof/>
      <w:color w:val="2E74B5" w:themeColor="accent1" w:themeShade="BF"/>
    </w:rPr>
  </w:style>
  <w:style w:type="paragraph" w:styleId="TOC2">
    <w:name w:val="toc 2"/>
    <w:basedOn w:val="Normal"/>
    <w:next w:val="Normal"/>
    <w:autoRedefine/>
    <w:uiPriority w:val="39"/>
    <w:unhideWhenUsed/>
    <w:rsid w:val="00D73CC1"/>
    <w:pPr>
      <w:spacing w:after="100"/>
      <w:ind w:left="220"/>
    </w:pPr>
  </w:style>
  <w:style w:type="paragraph" w:styleId="Quote">
    <w:name w:val="Quote"/>
    <w:basedOn w:val="Normal"/>
    <w:next w:val="Normal"/>
    <w:link w:val="QuoteChar"/>
    <w:uiPriority w:val="29"/>
    <w:qFormat/>
    <w:rsid w:val="0032286D"/>
    <w:pPr>
      <w:spacing w:after="200" w:line="276" w:lineRule="auto"/>
    </w:pPr>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32286D"/>
    <w:rPr>
      <w:rFonts w:eastAsiaTheme="minorEastAsia"/>
      <w:i/>
      <w:iCs/>
      <w:color w:val="000000" w:themeColor="text1"/>
      <w:lang w:val="en-US" w:eastAsia="ja-JP"/>
    </w:rPr>
  </w:style>
  <w:style w:type="table" w:customStyle="1" w:styleId="GridTable4-Accent111">
    <w:name w:val="Grid Table 4 - Accent 111"/>
    <w:basedOn w:val="TableNormal"/>
    <w:uiPriority w:val="49"/>
    <w:rsid w:val="00FE121C"/>
    <w:pPr>
      <w:spacing w:after="0" w:line="240" w:lineRule="auto"/>
    </w:pPr>
    <w:rPr>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3">
    <w:name w:val="Table Grid3"/>
    <w:basedOn w:val="TableNormal"/>
    <w:next w:val="TableGrid"/>
    <w:uiPriority w:val="39"/>
    <w:rsid w:val="00FE1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F0E52"/>
    <w:pPr>
      <w:keepNext/>
      <w:keepLines/>
      <w:spacing w:before="480" w:after="0"/>
      <w:outlineLvl w:val="0"/>
    </w:pPr>
    <w:rPr>
      <w:rFonts w:ascii="Times New Roman" w:eastAsiaTheme="majorEastAsia" w:hAnsi="Times New Roman" w:cstheme="majorBidi"/>
      <w:b/>
      <w:bCs/>
      <w:color w:val="2E74B5" w:themeColor="accent1" w:themeShade="BF"/>
      <w:sz w:val="24"/>
      <w:szCs w:val="28"/>
    </w:rPr>
  </w:style>
  <w:style w:type="paragraph" w:styleId="Heading2">
    <w:name w:val="heading 2"/>
    <w:basedOn w:val="Normal"/>
    <w:next w:val="Normal"/>
    <w:link w:val="Heading2Char"/>
    <w:uiPriority w:val="9"/>
    <w:unhideWhenUsed/>
    <w:qFormat/>
    <w:rsid w:val="000554E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E53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Shading1-Accent11">
    <w:name w:val="Medium Shading 1 - Accent 11"/>
    <w:basedOn w:val="TableNormal"/>
    <w:next w:val="MediumShading1-Accent1"/>
    <w:uiPriority w:val="63"/>
    <w:rsid w:val="00BB6EA6"/>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unhideWhenUsed/>
    <w:rsid w:val="00BB6EA6"/>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GridTable4-Accent11">
    <w:name w:val="Grid Table 4 - Accent 11"/>
    <w:basedOn w:val="TableNormal"/>
    <w:uiPriority w:val="49"/>
    <w:rsid w:val="00445300"/>
    <w:pPr>
      <w:spacing w:after="0" w:line="240" w:lineRule="auto"/>
    </w:pPr>
    <w:rPr>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NoList1">
    <w:name w:val="No List1"/>
    <w:next w:val="NoList"/>
    <w:uiPriority w:val="99"/>
    <w:semiHidden/>
    <w:unhideWhenUsed/>
    <w:rsid w:val="00F67CC4"/>
  </w:style>
  <w:style w:type="paragraph" w:styleId="ListParagraph">
    <w:name w:val="List Paragraph"/>
    <w:basedOn w:val="Normal"/>
    <w:uiPriority w:val="34"/>
    <w:qFormat/>
    <w:rsid w:val="00F67CC4"/>
    <w:pPr>
      <w:spacing w:after="200" w:line="276" w:lineRule="auto"/>
      <w:ind w:left="720"/>
      <w:contextualSpacing/>
    </w:pPr>
  </w:style>
  <w:style w:type="paragraph" w:customStyle="1" w:styleId="Default">
    <w:name w:val="Default"/>
    <w:rsid w:val="00F67C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igureTitle">
    <w:name w:val="FigureTitle"/>
    <w:basedOn w:val="Default"/>
    <w:next w:val="Default"/>
    <w:uiPriority w:val="99"/>
    <w:rsid w:val="00F67CC4"/>
    <w:rPr>
      <w:color w:val="auto"/>
    </w:rPr>
  </w:style>
  <w:style w:type="table" w:styleId="TableGrid">
    <w:name w:val="Table Grid"/>
    <w:basedOn w:val="TableNormal"/>
    <w:uiPriority w:val="59"/>
    <w:rsid w:val="00F67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 arial,Footnote Text Char Char Char Char,Footnote Text Char Char Char,single space, Car Car,stile 1,Footnote1,Footnote2,Footnote3,Footnote4,Footnote5,Footnote6,Footnote7,Footnote8,Footnote9,Footnote10,Footnote11,Footnote21,fn"/>
    <w:basedOn w:val="Normal"/>
    <w:link w:val="FootnoteTextChar"/>
    <w:uiPriority w:val="99"/>
    <w:rsid w:val="00F67CC4"/>
    <w:pPr>
      <w:spacing w:after="0" w:line="240" w:lineRule="auto"/>
    </w:pPr>
    <w:rPr>
      <w:rFonts w:ascii="Arial Narrow" w:eastAsia="Times New Roman" w:hAnsi="Arial Narrow" w:cs="Times New Roman"/>
      <w:sz w:val="20"/>
      <w:szCs w:val="20"/>
      <w:lang w:eastAsia="bg-BG"/>
    </w:rPr>
  </w:style>
  <w:style w:type="character" w:customStyle="1" w:styleId="FootnoteTextChar">
    <w:name w:val="Footnote Text Char"/>
    <w:aliases w:val="Fußnotentext arial Char,Footnote Text Char Char Char Char Char,Footnote Text Char Char Char Char1,single space Char, Car Car Char,stile 1 Char,Footnote1 Char,Footnote2 Char,Footnote3 Char,Footnote4 Char,Footnote5 Char,Footnote6 Char"/>
    <w:basedOn w:val="DefaultParagraphFont"/>
    <w:link w:val="FootnoteText"/>
    <w:uiPriority w:val="99"/>
    <w:rsid w:val="00F67CC4"/>
    <w:rPr>
      <w:rFonts w:ascii="Arial Narrow" w:eastAsia="Times New Roman" w:hAnsi="Arial Narrow" w:cs="Times New Roman"/>
      <w:sz w:val="20"/>
      <w:szCs w:val="20"/>
      <w:lang w:eastAsia="bg-BG"/>
    </w:rPr>
  </w:style>
  <w:style w:type="character" w:styleId="FootnoteReference">
    <w:name w:val="footnote reference"/>
    <w:aliases w:val="Footnote,Footnote symbol,Appel note de bas de p,SUPERS,Nota,(NECG) Footnote Reference,Voetnootverwijzing,ftref,BVI fnr,Footnote Reference Superscript,Lábjegyzet-hivatkozás,L?bjegyzet-hivatkoz?s,Char1 Char Char Char Char"/>
    <w:uiPriority w:val="99"/>
    <w:rsid w:val="00F67CC4"/>
    <w:rPr>
      <w:vertAlign w:val="superscript"/>
    </w:rPr>
  </w:style>
  <w:style w:type="paragraph" w:styleId="Caption">
    <w:name w:val="caption"/>
    <w:basedOn w:val="Normal"/>
    <w:next w:val="Normal"/>
    <w:qFormat/>
    <w:rsid w:val="00F67CC4"/>
    <w:pPr>
      <w:spacing w:after="0" w:line="240" w:lineRule="auto"/>
    </w:pPr>
    <w:rPr>
      <w:rFonts w:ascii="Times New Roman" w:eastAsia="Times New Roman" w:hAnsi="Times New Roman" w:cs="Times New Roman"/>
      <w:b/>
      <w:bCs/>
      <w:sz w:val="20"/>
      <w:szCs w:val="20"/>
      <w:lang w:eastAsia="bg-BG"/>
    </w:rPr>
  </w:style>
  <w:style w:type="paragraph" w:customStyle="1" w:styleId="a">
    <w:name w:val="Стил"/>
    <w:uiPriority w:val="99"/>
    <w:rsid w:val="00F67CC4"/>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F67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CC4"/>
    <w:rPr>
      <w:rFonts w:ascii="Tahoma" w:hAnsi="Tahoma" w:cs="Tahoma"/>
      <w:sz w:val="16"/>
      <w:szCs w:val="16"/>
    </w:rPr>
  </w:style>
  <w:style w:type="table" w:customStyle="1" w:styleId="MediumShading1-Accent12">
    <w:name w:val="Medium Shading 1 - Accent 12"/>
    <w:basedOn w:val="TableNormal"/>
    <w:next w:val="MediumShading1-Accent1"/>
    <w:uiPriority w:val="63"/>
    <w:rsid w:val="00A12B60"/>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eading3Char">
    <w:name w:val="Heading 3 Char"/>
    <w:basedOn w:val="DefaultParagraphFont"/>
    <w:link w:val="Heading3"/>
    <w:uiPriority w:val="9"/>
    <w:semiHidden/>
    <w:rsid w:val="001E53C5"/>
    <w:rPr>
      <w:rFonts w:asciiTheme="majorHAnsi" w:eastAsiaTheme="majorEastAsia" w:hAnsiTheme="majorHAnsi" w:cstheme="majorBidi"/>
      <w:color w:val="1F4D78" w:themeColor="accent1" w:themeShade="7F"/>
      <w:sz w:val="24"/>
      <w:szCs w:val="24"/>
    </w:rPr>
  </w:style>
  <w:style w:type="table" w:customStyle="1" w:styleId="GridTable4-Accent12">
    <w:name w:val="Grid Table 4 - Accent 12"/>
    <w:basedOn w:val="TableNormal"/>
    <w:uiPriority w:val="49"/>
    <w:rsid w:val="001E53C5"/>
    <w:pPr>
      <w:spacing w:after="0" w:line="240" w:lineRule="auto"/>
    </w:pPr>
    <w:rPr>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Heading3bold12pt">
    <w:name w:val="Heading 3 + bold 12pt"/>
    <w:aliases w:val="Times New Roman 12 pt Italic"/>
    <w:basedOn w:val="Heading3"/>
    <w:link w:val="Heading3bold12ptChar"/>
    <w:rsid w:val="001E53C5"/>
    <w:pPr>
      <w:keepLines w:val="0"/>
      <w:spacing w:before="240" w:after="60" w:line="240" w:lineRule="auto"/>
    </w:pPr>
    <w:rPr>
      <w:rFonts w:ascii="Times New Roman" w:eastAsia="Times New Roman" w:hAnsi="Times New Roman" w:cs="Arial"/>
      <w:b/>
      <w:bCs/>
      <w:iCs/>
      <w:color w:val="auto"/>
      <w:szCs w:val="26"/>
      <w:lang w:val="en-US"/>
    </w:rPr>
  </w:style>
  <w:style w:type="character" w:customStyle="1" w:styleId="Heading3bold12ptChar">
    <w:name w:val="Heading 3 + bold 12pt Char"/>
    <w:aliases w:val="Times New Roman 12 pt Italic Char"/>
    <w:link w:val="Heading3bold12pt"/>
    <w:rsid w:val="001E53C5"/>
    <w:rPr>
      <w:rFonts w:ascii="Times New Roman" w:eastAsia="Times New Roman" w:hAnsi="Times New Roman" w:cs="Arial"/>
      <w:b/>
      <w:bCs/>
      <w:iCs/>
      <w:sz w:val="24"/>
      <w:szCs w:val="26"/>
      <w:lang w:val="en-US"/>
    </w:rPr>
  </w:style>
  <w:style w:type="character" w:customStyle="1" w:styleId="Hyperlink1">
    <w:name w:val="Hyperlink1"/>
    <w:basedOn w:val="DefaultParagraphFont"/>
    <w:uiPriority w:val="99"/>
    <w:unhideWhenUsed/>
    <w:rsid w:val="001E53C5"/>
    <w:rPr>
      <w:color w:val="0000FF"/>
      <w:u w:val="single"/>
    </w:rPr>
  </w:style>
  <w:style w:type="table" w:customStyle="1" w:styleId="LightGrid-Accent11">
    <w:name w:val="Light Grid - Accent 11"/>
    <w:basedOn w:val="TableNormal"/>
    <w:next w:val="LightGrid-Accent1"/>
    <w:uiPriority w:val="62"/>
    <w:rsid w:val="001E53C5"/>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yperlink">
    <w:name w:val="Hyperlink"/>
    <w:basedOn w:val="DefaultParagraphFont"/>
    <w:uiPriority w:val="99"/>
    <w:unhideWhenUsed/>
    <w:rsid w:val="001E53C5"/>
    <w:rPr>
      <w:color w:val="0563C1" w:themeColor="hyperlink"/>
      <w:u w:val="single"/>
    </w:rPr>
  </w:style>
  <w:style w:type="table" w:styleId="LightGrid-Accent1">
    <w:name w:val="Light Grid Accent 1"/>
    <w:basedOn w:val="TableNormal"/>
    <w:uiPriority w:val="62"/>
    <w:semiHidden/>
    <w:unhideWhenUsed/>
    <w:rsid w:val="001E53C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Grid1">
    <w:name w:val="Table Grid1"/>
    <w:basedOn w:val="TableNormal"/>
    <w:next w:val="TableGrid"/>
    <w:uiPriority w:val="39"/>
    <w:rsid w:val="007E5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20">
    <w:name w:val="Grid Table 4 - Accent 12"/>
    <w:basedOn w:val="TableNormal"/>
    <w:next w:val="GridTable4-Accent12"/>
    <w:uiPriority w:val="49"/>
    <w:rsid w:val="00CE2B2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2">
    <w:name w:val="Table Grid2"/>
    <w:basedOn w:val="TableNormal"/>
    <w:next w:val="TableGrid"/>
    <w:uiPriority w:val="59"/>
    <w:rsid w:val="000D5B8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13">
    <w:name w:val="Medium Shading 1 - Accent 13"/>
    <w:basedOn w:val="TableNormal"/>
    <w:next w:val="MediumShading1-Accent1"/>
    <w:uiPriority w:val="63"/>
    <w:rsid w:val="00060EFD"/>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NoSpacing">
    <w:name w:val="No Spacing"/>
    <w:link w:val="NoSpacingChar"/>
    <w:uiPriority w:val="1"/>
    <w:qFormat/>
    <w:rsid w:val="009E63F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E63F9"/>
    <w:rPr>
      <w:rFonts w:eastAsiaTheme="minorEastAsia"/>
      <w:lang w:val="en-US"/>
    </w:rPr>
  </w:style>
  <w:style w:type="paragraph" w:styleId="Header">
    <w:name w:val="header"/>
    <w:basedOn w:val="Normal"/>
    <w:link w:val="HeaderChar"/>
    <w:uiPriority w:val="99"/>
    <w:unhideWhenUsed/>
    <w:rsid w:val="005B0C6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0C6D"/>
  </w:style>
  <w:style w:type="paragraph" w:styleId="Footer">
    <w:name w:val="footer"/>
    <w:basedOn w:val="Normal"/>
    <w:link w:val="FooterChar"/>
    <w:uiPriority w:val="99"/>
    <w:unhideWhenUsed/>
    <w:rsid w:val="005B0C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0C6D"/>
  </w:style>
  <w:style w:type="paragraph" w:styleId="TableofFigures">
    <w:name w:val="table of figures"/>
    <w:basedOn w:val="Normal"/>
    <w:next w:val="Normal"/>
    <w:uiPriority w:val="99"/>
    <w:unhideWhenUsed/>
    <w:rsid w:val="00633771"/>
    <w:pPr>
      <w:spacing w:after="0"/>
    </w:pPr>
  </w:style>
  <w:style w:type="character" w:customStyle="1" w:styleId="apple-converted-space">
    <w:name w:val="apple-converted-space"/>
    <w:basedOn w:val="DefaultParagraphFont"/>
    <w:rsid w:val="005362DE"/>
  </w:style>
  <w:style w:type="character" w:styleId="Emphasis">
    <w:name w:val="Emphasis"/>
    <w:basedOn w:val="DefaultParagraphFont"/>
    <w:uiPriority w:val="20"/>
    <w:qFormat/>
    <w:rsid w:val="005362DE"/>
    <w:rPr>
      <w:i/>
      <w:iCs/>
    </w:rPr>
  </w:style>
  <w:style w:type="character" w:customStyle="1" w:styleId="Heading1Char">
    <w:name w:val="Heading 1 Char"/>
    <w:basedOn w:val="DefaultParagraphFont"/>
    <w:link w:val="Heading1"/>
    <w:uiPriority w:val="9"/>
    <w:rsid w:val="00DF0E52"/>
    <w:rPr>
      <w:rFonts w:ascii="Times New Roman" w:eastAsiaTheme="majorEastAsia" w:hAnsi="Times New Roman" w:cstheme="majorBidi"/>
      <w:b/>
      <w:bCs/>
      <w:color w:val="2E74B5" w:themeColor="accent1" w:themeShade="BF"/>
      <w:sz w:val="24"/>
      <w:szCs w:val="28"/>
    </w:rPr>
  </w:style>
  <w:style w:type="character" w:customStyle="1" w:styleId="Heading2Char">
    <w:name w:val="Heading 2 Char"/>
    <w:basedOn w:val="DefaultParagraphFont"/>
    <w:link w:val="Heading2"/>
    <w:uiPriority w:val="9"/>
    <w:rsid w:val="000554E4"/>
    <w:rPr>
      <w:rFonts w:asciiTheme="majorHAnsi" w:eastAsiaTheme="majorEastAsia" w:hAnsiTheme="majorHAnsi" w:cstheme="majorBidi"/>
      <w:b/>
      <w:bCs/>
      <w:color w:val="5B9BD5" w:themeColor="accent1"/>
      <w:sz w:val="26"/>
      <w:szCs w:val="26"/>
    </w:rPr>
  </w:style>
  <w:style w:type="paragraph" w:styleId="TOC3">
    <w:name w:val="toc 3"/>
    <w:basedOn w:val="Normal"/>
    <w:next w:val="Normal"/>
    <w:autoRedefine/>
    <w:uiPriority w:val="39"/>
    <w:unhideWhenUsed/>
    <w:rsid w:val="00D73CC1"/>
    <w:pPr>
      <w:spacing w:after="100"/>
      <w:ind w:left="440"/>
    </w:pPr>
  </w:style>
  <w:style w:type="paragraph" w:styleId="TOC1">
    <w:name w:val="toc 1"/>
    <w:basedOn w:val="Normal"/>
    <w:next w:val="Normal"/>
    <w:autoRedefine/>
    <w:uiPriority w:val="39"/>
    <w:unhideWhenUsed/>
    <w:rsid w:val="0030416B"/>
    <w:pPr>
      <w:tabs>
        <w:tab w:val="left" w:pos="440"/>
        <w:tab w:val="right" w:leader="dot" w:pos="9062"/>
      </w:tabs>
      <w:spacing w:after="100"/>
      <w:jc w:val="both"/>
    </w:pPr>
    <w:rPr>
      <w:rFonts w:ascii="Times New Roman" w:hAnsi="Times New Roman" w:cs="Times New Roman"/>
      <w:b/>
      <w:noProof/>
      <w:color w:val="2E74B5" w:themeColor="accent1" w:themeShade="BF"/>
    </w:rPr>
  </w:style>
  <w:style w:type="paragraph" w:styleId="TOC2">
    <w:name w:val="toc 2"/>
    <w:basedOn w:val="Normal"/>
    <w:next w:val="Normal"/>
    <w:autoRedefine/>
    <w:uiPriority w:val="39"/>
    <w:unhideWhenUsed/>
    <w:rsid w:val="00D73CC1"/>
    <w:pPr>
      <w:spacing w:after="100"/>
      <w:ind w:left="220"/>
    </w:pPr>
  </w:style>
  <w:style w:type="paragraph" w:styleId="Quote">
    <w:name w:val="Quote"/>
    <w:basedOn w:val="Normal"/>
    <w:next w:val="Normal"/>
    <w:link w:val="QuoteChar"/>
    <w:uiPriority w:val="29"/>
    <w:qFormat/>
    <w:rsid w:val="0032286D"/>
    <w:pPr>
      <w:spacing w:after="200" w:line="276" w:lineRule="auto"/>
    </w:pPr>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32286D"/>
    <w:rPr>
      <w:rFonts w:eastAsiaTheme="minorEastAsia"/>
      <w:i/>
      <w:iCs/>
      <w:color w:val="000000" w:themeColor="text1"/>
      <w:lang w:val="en-US" w:eastAsia="ja-JP"/>
    </w:rPr>
  </w:style>
  <w:style w:type="table" w:customStyle="1" w:styleId="GridTable4-Accent111">
    <w:name w:val="Grid Table 4 - Accent 111"/>
    <w:basedOn w:val="TableNormal"/>
    <w:uiPriority w:val="49"/>
    <w:rsid w:val="00FE121C"/>
    <w:pPr>
      <w:spacing w:after="0" w:line="240" w:lineRule="auto"/>
    </w:pPr>
    <w:rPr>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3">
    <w:name w:val="Table Grid3"/>
    <w:basedOn w:val="TableNormal"/>
    <w:next w:val="TableGrid"/>
    <w:uiPriority w:val="39"/>
    <w:rsid w:val="00FE1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72000">
      <w:bodyDiv w:val="1"/>
      <w:marLeft w:val="0"/>
      <w:marRight w:val="0"/>
      <w:marTop w:val="0"/>
      <w:marBottom w:val="0"/>
      <w:divBdr>
        <w:top w:val="none" w:sz="0" w:space="0" w:color="auto"/>
        <w:left w:val="none" w:sz="0" w:space="0" w:color="auto"/>
        <w:bottom w:val="none" w:sz="0" w:space="0" w:color="auto"/>
        <w:right w:val="none" w:sz="0" w:space="0" w:color="auto"/>
      </w:divBdr>
    </w:div>
    <w:div w:id="196812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fiyskavoda.bg/SVDocuments/Bistrica.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sr.government.bg/index.php/bg/sections/l2/1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prsr.government.bg/wp-content/uploads/2012/06/11377-1-1.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rrb.government.bg/" TargetMode="External"/><Relationship Id="rId4" Type="http://schemas.microsoft.com/office/2007/relationships/stylesWithEffects" Target="stylesWithEffects.xml"/><Relationship Id="rId9" Type="http://schemas.openxmlformats.org/officeDocument/2006/relationships/hyperlink" Target="https://www.google.bg/url?sa=t&amp;rct=j&amp;q=&amp;esrc=s&amp;source=web&amp;cd=2&amp;ved=0ahUKEwj2h_Ob9JvQAhWJ0xQKHdMUDxAQFgglMAE&amp;url=http%3A%2F%2Fwww.capital.bg%2Fbrowse.php%3Frubrid%3D17794&amp;usg=AFQjCNFa33YKtSrPOG2Qgat6iL4PCXVs8Q&amp;sig2=ovFLX6UpN04i26C2ElybFg&amp;bvm=bv.138169073,d.d2s" TargetMode="External"/><Relationship Id="rId14" Type="http://schemas.openxmlformats.org/officeDocument/2006/relationships/hyperlink" Target="https://bg.wikipedia.org/wiki/%D0%9F%D1%80%D0%B5%D0%BA%D0%B8_%D1%87%D1%83%D0%B6%D0%B4%D0%B5%D1%81%D1%82%D1%80%D0%B0%D0%BD%D0%BD%D0%B8_%D0%B8%D0%BD%D0%B2%D0%B5%D1%81%D1%82%D0%B8%D1%86%D0%B8%D0%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3B006-58FF-42BE-8E06-46384102F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13021</Words>
  <Characters>74225</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ДОКЛАД С РЕЗУЛTAТИТЕ ОТ ПОСЛЕДВАЩАТА ОЦЕНКА НА НАЦИОНАЛНАТА СТРАТЕГИЯ ЗА РЕГИОНАЛНО РАЗВИТИЕ 2005-2015 г.</vt:lpstr>
    </vt:vector>
  </TitlesOfParts>
  <Company>„ГЕОГРФИКА“ ООД</Company>
  <LinksUpToDate>false</LinksUpToDate>
  <CharactersWithSpaces>87072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С РЕЗУЛTAТИТЕ ОТ ПОСЛЕДВАЩАТА ОЦЕНКА НА НАЦИОНАЛНАТА СТРАТЕГИЯ ЗА РЕГИОНАЛНО РАЗВИТИЕ 2005-2015 г.</dc:title>
  <dc:creator>Nikolov</dc:creator>
  <cp:lastModifiedBy>Daniela Georgieva</cp:lastModifiedBy>
  <cp:revision>2</cp:revision>
  <dcterms:created xsi:type="dcterms:W3CDTF">2017-04-11T14:31:00Z</dcterms:created>
  <dcterms:modified xsi:type="dcterms:W3CDTF">2017-04-11T14:31:00Z</dcterms:modified>
</cp:coreProperties>
</file>